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</w:pPr>
      <w:r>
        <w:rPr>
          <w:rFonts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1：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黑体" w:hAnsi="宋体" w:eastAsia="黑体" w:cs="黑体"/>
          <w:color w:val="000000"/>
          <w:kern w:val="2"/>
          <w:sz w:val="36"/>
          <w:szCs w:val="36"/>
          <w:lang w:val="en-US" w:eastAsia="zh-CN" w:bidi="ar"/>
        </w:rPr>
        <w:t>团支部工作典型案例申报表</w:t>
      </w:r>
    </w:p>
    <w:tbl>
      <w:tblPr>
        <w:tblW w:w="91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84"/>
        <w:gridCol w:w="7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案例名称</w:t>
            </w:r>
          </w:p>
        </w:tc>
        <w:tc>
          <w:tcPr>
            <w:tcW w:w="7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案例单位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实施背景</w:t>
            </w:r>
          </w:p>
        </w:tc>
        <w:tc>
          <w:tcPr>
            <w:tcW w:w="7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100字以内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做法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以及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流程</w:t>
            </w:r>
          </w:p>
        </w:tc>
        <w:tc>
          <w:tcPr>
            <w:tcW w:w="7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1000字以内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事项</w:t>
            </w:r>
          </w:p>
        </w:tc>
        <w:tc>
          <w:tcPr>
            <w:tcW w:w="7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200字以内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点评</w:t>
            </w:r>
          </w:p>
        </w:tc>
        <w:tc>
          <w:tcPr>
            <w:tcW w:w="7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100字以内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团委书记（签章）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点评</w:t>
            </w:r>
          </w:p>
        </w:tc>
        <w:tc>
          <w:tcPr>
            <w:tcW w:w="7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100字以内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2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配套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资料</w:t>
            </w:r>
          </w:p>
        </w:tc>
        <w:tc>
          <w:tcPr>
            <w:tcW w:w="7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黑体" w:hAnsi="宋体" w:eastAsia="黑体" w:cs="Times New Roman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黑体" w:hAnsi="宋体" w:eastAsia="黑体" w:cs="Times New Roman"/>
          <w:color w:val="000000"/>
          <w:kern w:val="2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left"/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360" w:lineRule="auto"/>
        <w:ind w:left="0" w:right="0"/>
        <w:jc w:val="center"/>
      </w:pPr>
      <w:r>
        <w:rPr>
          <w:rFonts w:hint="eastAsia" w:ascii="黑体" w:hAnsi="宋体" w:eastAsia="黑体" w:cs="黑体"/>
          <w:color w:val="000000"/>
          <w:kern w:val="2"/>
          <w:sz w:val="36"/>
          <w:szCs w:val="36"/>
          <w:lang w:val="en-US" w:eastAsia="zh-CN" w:bidi="ar"/>
        </w:rPr>
        <w:t>团支部工作典型案例申报表（范例）</w:t>
      </w:r>
    </w:p>
    <w:tbl>
      <w:tblPr>
        <w:tblW w:w="918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25"/>
        <w:gridCol w:w="7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案例名称</w:t>
            </w:r>
          </w:p>
        </w:tc>
        <w:tc>
          <w:tcPr>
            <w:tcW w:w="70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“爱国爱校教育”主题团会——经典诵读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申报单位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****学院团委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6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案例单位</w:t>
            </w:r>
          </w:p>
        </w:tc>
        <w:tc>
          <w:tcPr>
            <w:tcW w:w="7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****学院团委**级***专业团支部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826" w:firstLineChars="343"/>
              <w:jc w:val="center"/>
            </w:pPr>
            <w:r>
              <w:rPr>
                <w:rFonts w:hint="default" w:ascii="Calibri" w:hAnsi="Calibri" w:eastAsia="仿宋_GB2312" w:cs="Calibri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实施背景</w:t>
            </w:r>
          </w:p>
        </w:tc>
        <w:tc>
          <w:tcPr>
            <w:tcW w:w="8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70" w:firstLineChars="196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典是指经久不衰的传世之作，具有典范性、权威性，是经过历史选择的“最有价值的书”。2009年“中华诵”这一大型朗诵比赛风靡全国。班级团支部在开展以“经典诵读”为主要形式的“爱国爱校教育”主题团会活动中，通过分小组各具特色的家乡话诵读、情景交融的诗词吟诵和才智比拼的名句接龙等环节，引导同学们在潜移默化中接受中华民族优秀文化的熏陶，增强民族的认同感和自豪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做法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以及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流程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活动分三个阶段：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一是准备阶段。主要在活动前准备好体现主题的经典诗词、名句名篇等材料和背景音乐，制作PPT，确定主持人，分好小组，确定摄影摄像等人员分工，场地布置等。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二是实施阶段。具体流程为：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1．“百家争鸣”——最美丽的家乡话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各小组选派两名成员参加，选手必须以家乡话朗诵一篇经典诗文（或选好一篇诗文，让同学用不同方言朗诵）。通过具有地方特色的名人名言激励同学们。本环节主要作用为暖场。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2．“身临其境”——情景吟诵 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该环节主要是将诗词的故事背景与诗人的内心情感、诗歌的吟咏吟唱相结合。此环节考验各组同学的急才和团队精神，5分钟准备后进行现场情景剧的吟诵表演，全队总动员。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3．“经典知多少”——名句大接龙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采用抢答方式，共20道题。主持人念出名篇名句的上句或上半部分，选手则需要说出下句或下半部分，答对一题计十分，答错不扣分。在紧张激烈的抢答中回溯经典诗文浓浓的爱国情。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三是总结阶段。活动结束时，邀请相关老师对活动进行现场点评，并征求同学们对该活动的建议和意见。同时做好活动相关文字、视频、音像资料的整理保存工作，适时开展宣传</w:t>
            </w: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推广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注意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事项</w:t>
            </w:r>
          </w:p>
        </w:tc>
        <w:tc>
          <w:tcPr>
            <w:tcW w:w="8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1．教室最好借有多媒体的，提前准备PPT和相关音乐能让活动增色不少。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2．分组时每组人员不宜过多，5-6人一组为好。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3．根据主题提前准备诵读材料。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4．可提前准备文具小奖品，对表现突出的个人或团队进行奖励能大大提高同学们的参与热情。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书记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点评</w:t>
            </w:r>
          </w:p>
        </w:tc>
        <w:tc>
          <w:tcPr>
            <w:tcW w:w="8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仿宋_GB2312" w:hAnsi="Calibri" w:eastAsia="仿宋_GB2312" w:cs="Times New Roman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                         团委书记（签章）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普通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点评</w:t>
            </w:r>
          </w:p>
        </w:tc>
        <w:tc>
          <w:tcPr>
            <w:tcW w:w="8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3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配套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Calibri" w:eastAsia="仿宋_GB2312" w:cs="Times New Roman"/>
                <w:b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资料</w:t>
            </w:r>
          </w:p>
        </w:tc>
        <w:tc>
          <w:tcPr>
            <w:tcW w:w="84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default" w:ascii="Calibri" w:hAnsi="Calibri" w:eastAsia="仿宋_GB2312" w:cs="Calibri"/>
                <w:color w:val="000000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DFDFD"/>
        <w:spacing w:before="0" w:beforeAutospacing="0" w:after="0" w:afterAutospacing="0" w:line="390" w:lineRule="atLeast"/>
        <w:ind w:left="0" w:right="420" w:firstLine="300"/>
        <w:jc w:val="left"/>
      </w:pPr>
      <w:r>
        <w:rPr>
          <w:rFonts w:hint="default" w:ascii="Calibri" w:hAnsi="Calibri" w:eastAsia="仿宋_GB2312" w:cs="Calibri"/>
          <w:color w:val="444444"/>
          <w:kern w:val="0"/>
          <w:sz w:val="28"/>
          <w:szCs w:val="28"/>
          <w:shd w:val="clear" w:fill="FDFDFD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仿宋_GB2312" w:cs="Calibri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8724E"/>
    <w:rsid w:val="5EC872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2018-05-31T12:55:00Z</dcterms:created>
  <dc:creator>于新</dc:creator>
  <cp:lastModifiedBy>于新</cp:lastModifiedBy>
  <dcterms:modified xsi:type="dcterms:W3CDTF">2018-05-31T12:57:23Z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