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autoSpaceDE/>
        <w:autoSpaceDN/>
        <w:spacing w:before="0" w:after="0" w:line="560" w:lineRule="exact"/>
        <w:ind w:right="0" w:firstLine="0"/>
        <w:jc w:val="center"/>
        <w:rPr>
          <w:rFonts w:hint="default" w:ascii="方正小标宋简体" w:hAnsi="方正小标宋简体" w:eastAsia="方正小标宋简体"/>
          <w:color w:val="auto"/>
          <w:position w:val="0"/>
          <w:sz w:val="44"/>
          <w:szCs w:val="44"/>
        </w:rPr>
      </w:pPr>
      <w:r>
        <w:rPr>
          <w:rFonts w:hint="default" w:ascii="方正小标宋简体" w:hAnsi="方正小标宋简体" w:eastAsia="方正小标宋简体"/>
          <w:color w:val="auto"/>
          <w:position w:val="0"/>
          <w:sz w:val="44"/>
          <w:szCs w:val="44"/>
        </w:rPr>
        <w:t>共青团兰州大学委员会2018年工作要点</w:t>
      </w:r>
    </w:p>
    <w:p>
      <w:pPr>
        <w:numPr>
          <w:ilvl w:val="0"/>
          <w:numId w:val="0"/>
        </w:numPr>
        <w:autoSpaceDE/>
        <w:autoSpaceDN/>
        <w:spacing w:before="0" w:after="0" w:line="560" w:lineRule="exact"/>
        <w:ind w:right="0" w:firstLine="0"/>
        <w:jc w:val="center"/>
        <w:rPr>
          <w:rFonts w:hint="default" w:ascii="仿宋_GB2312" w:hAnsi="仿宋_GB2312" w:eastAsia="仿宋_GB2312"/>
          <w:color w:val="auto"/>
          <w:position w:val="0"/>
          <w:sz w:val="32"/>
          <w:szCs w:val="32"/>
        </w:rPr>
      </w:pPr>
    </w:p>
    <w:p>
      <w:pPr>
        <w:numPr>
          <w:ilvl w:val="0"/>
          <w:numId w:val="0"/>
        </w:numPr>
        <w:autoSpaceDE/>
        <w:autoSpaceDN/>
        <w:spacing w:before="0" w:after="0" w:line="560" w:lineRule="exact"/>
        <w:ind w:right="0" w:firstLine="640"/>
        <w:jc w:val="both"/>
        <w:rPr>
          <w:rFonts w:hint="default" w:ascii="仿宋_GB2312" w:hAnsi="仿宋_GB2312" w:eastAsia="仿宋_GB2312"/>
          <w:color w:val="auto"/>
          <w:position w:val="0"/>
          <w:sz w:val="32"/>
          <w:szCs w:val="32"/>
        </w:rPr>
      </w:pPr>
      <w:r>
        <w:rPr>
          <w:rFonts w:hint="default" w:ascii="仿宋_GB2312" w:hAnsi="仿宋_GB2312" w:eastAsia="仿宋_GB2312"/>
          <w:color w:val="auto"/>
          <w:position w:val="0"/>
          <w:sz w:val="32"/>
          <w:szCs w:val="32"/>
        </w:rPr>
        <w:t>坚持以习近平新时代中国特色社会主义思想为指导，以全面深入学习贯彻落实党的十九大精神为主线，对标上级新要求，聚焦学校新发展，推进改革再出发，强基础、建机制、抓队伍、增实效</w:t>
      </w:r>
      <w:r>
        <w:rPr>
          <w:rFonts w:hint="default" w:ascii="仿宋_GB2312" w:hAnsi="仿宋_GB2312" w:eastAsia="仿宋_GB2312"/>
          <w:smallCaps w:val="0"/>
          <w:color w:val="auto"/>
          <w:spacing w:val="0"/>
          <w:position w:val="0"/>
          <w:sz w:val="32"/>
          <w:szCs w:val="32"/>
        </w:rPr>
        <w:t>，不断加强共青团“职能化”建设,</w:t>
      </w:r>
      <w:r>
        <w:rPr>
          <w:rFonts w:hint="default" w:ascii="仿宋_GB2312" w:hAnsi="仿宋_GB2312" w:eastAsia="仿宋_GB2312"/>
          <w:color w:val="auto"/>
          <w:position w:val="0"/>
          <w:sz w:val="32"/>
          <w:szCs w:val="32"/>
        </w:rPr>
        <w:t>切实围绕学生、关照学生、服务学生、引领学生，落实落小立德树人的根本任务，团结带领广大团员青年在推进学校“双一流”建设的进程中建功立业。</w:t>
      </w:r>
    </w:p>
    <w:p>
      <w:pPr>
        <w:numPr>
          <w:ilvl w:val="0"/>
          <w:numId w:val="0"/>
        </w:numPr>
        <w:autoSpaceDE/>
        <w:autoSpaceDN/>
        <w:spacing w:before="0" w:after="0" w:line="560" w:lineRule="exact"/>
        <w:ind w:right="0" w:firstLine="640"/>
        <w:jc w:val="both"/>
        <w:rPr>
          <w:rFonts w:hint="default" w:ascii="黑体" w:hAnsi="黑体" w:eastAsia="黑体"/>
          <w:color w:val="auto"/>
          <w:position w:val="0"/>
          <w:sz w:val="32"/>
          <w:szCs w:val="32"/>
        </w:rPr>
      </w:pPr>
      <w:r>
        <w:rPr>
          <w:rFonts w:hint="default" w:ascii="黑体" w:hAnsi="黑体" w:eastAsia="黑体"/>
          <w:color w:val="auto"/>
          <w:position w:val="0"/>
          <w:sz w:val="32"/>
          <w:szCs w:val="32"/>
        </w:rPr>
        <w:t xml:space="preserve">一、聚焦深入引领学生，做实思想政治教育工作 </w:t>
      </w:r>
    </w:p>
    <w:p>
      <w:pPr>
        <w:numPr>
          <w:ilvl w:val="0"/>
          <w:numId w:val="0"/>
        </w:numPr>
        <w:autoSpaceDE/>
        <w:autoSpaceDN/>
        <w:spacing w:before="0" w:after="0" w:line="560" w:lineRule="exact"/>
        <w:ind w:right="0" w:firstLine="643"/>
        <w:jc w:val="both"/>
        <w:rPr>
          <w:rFonts w:hint="default" w:ascii="仿宋_GB2312" w:hAnsi="仿宋_GB2312" w:eastAsia="仿宋_GB2312"/>
          <w:smallCaps w:val="0"/>
          <w:color w:val="auto"/>
          <w:spacing w:val="0"/>
          <w:position w:val="0"/>
          <w:sz w:val="32"/>
          <w:szCs w:val="32"/>
        </w:rPr>
      </w:pPr>
      <w:r>
        <w:rPr>
          <w:rFonts w:hint="default" w:ascii="楷体_GB2312" w:hAnsi="楷体_GB2312" w:eastAsia="楷体_GB2312"/>
          <w:color w:val="auto"/>
          <w:position w:val="0"/>
          <w:sz w:val="32"/>
          <w:szCs w:val="32"/>
        </w:rPr>
        <w:t>（一）深入学习宣传阐释贯彻习近平新时代中国特色社会主义思想和党的十九大精神。</w:t>
      </w:r>
      <w:r>
        <w:rPr>
          <w:rFonts w:hint="default" w:ascii="仿宋_GB2312" w:hAnsi="仿宋_GB2312" w:eastAsia="仿宋_GB2312"/>
          <w:color w:val="auto"/>
          <w:position w:val="0"/>
          <w:sz w:val="32"/>
          <w:szCs w:val="32"/>
        </w:rPr>
        <w:t>发挥“习近平新时代中国特色社会主义思想青年研习社”的引领示范</w:t>
      </w:r>
      <w:r>
        <w:rPr>
          <w:rFonts w:hint="default" w:ascii="仿宋_GB2312" w:hAnsi="仿宋_GB2312" w:eastAsia="仿宋_GB2312"/>
          <w:smallCaps w:val="0"/>
          <w:color w:val="auto"/>
          <w:spacing w:val="0"/>
          <w:position w:val="0"/>
          <w:sz w:val="32"/>
          <w:szCs w:val="32"/>
        </w:rPr>
        <w:t>作用，依托“党的十九大精神青年宣讲团”、专职团干部“团日讲堂”和</w:t>
      </w:r>
      <w:r>
        <w:rPr>
          <w:rFonts w:hint="default" w:ascii="仿宋_GB2312" w:hAnsi="仿宋_GB2312" w:eastAsia="仿宋_GB2312"/>
          <w:b w:val="0"/>
          <w:i w:val="0"/>
          <w:smallCaps w:val="0"/>
          <w:color w:val="auto"/>
          <w:spacing w:val="0"/>
          <w:position w:val="0"/>
          <w:sz w:val="32"/>
          <w:szCs w:val="32"/>
        </w:rPr>
        <w:t>“四进四信”活动</w:t>
      </w:r>
      <w:r>
        <w:rPr>
          <w:rFonts w:hint="default" w:ascii="仿宋_GB2312" w:hAnsi="仿宋_GB2312" w:eastAsia="仿宋_GB2312"/>
          <w:smallCaps w:val="0"/>
          <w:color w:val="auto"/>
          <w:spacing w:val="0"/>
          <w:position w:val="0"/>
          <w:sz w:val="32"/>
          <w:szCs w:val="32"/>
        </w:rPr>
        <w:t>，深入宣讲十九大精神，促使新时代思想和十九大精神入脑入心入行，激发学生成才报国跟党走的志向。</w:t>
      </w:r>
    </w:p>
    <w:p>
      <w:pPr>
        <w:numPr>
          <w:ilvl w:val="0"/>
          <w:numId w:val="0"/>
        </w:numPr>
        <w:autoSpaceDE/>
        <w:autoSpaceDN/>
        <w:spacing w:before="0" w:after="0" w:line="560" w:lineRule="exact"/>
        <w:ind w:right="0" w:firstLine="643"/>
        <w:jc w:val="both"/>
        <w:rPr>
          <w:rFonts w:hint="default" w:ascii="仿宋_GB2312" w:hAnsi="仿宋_GB2312" w:eastAsia="仿宋_GB2312"/>
          <w:smallCaps w:val="0"/>
          <w:color w:val="auto"/>
          <w:spacing w:val="0"/>
          <w:position w:val="0"/>
          <w:sz w:val="32"/>
          <w:szCs w:val="32"/>
        </w:rPr>
      </w:pPr>
      <w:r>
        <w:rPr>
          <w:rFonts w:hint="default" w:ascii="楷体_GB2312" w:hAnsi="楷体_GB2312" w:eastAsia="楷体_GB2312"/>
          <w:smallCaps w:val="0"/>
          <w:color w:val="auto"/>
          <w:spacing w:val="0"/>
          <w:position w:val="0"/>
          <w:sz w:val="32"/>
          <w:szCs w:val="32"/>
        </w:rPr>
        <w:t>（二）构建“一中心两节点月主题”的思政教育格局。</w:t>
      </w:r>
      <w:r>
        <w:rPr>
          <w:rFonts w:hint="default" w:ascii="仿宋_GB2312" w:hAnsi="仿宋_GB2312" w:eastAsia="仿宋_GB2312"/>
          <w:color w:val="auto"/>
          <w:position w:val="0"/>
          <w:sz w:val="32"/>
          <w:szCs w:val="32"/>
        </w:rPr>
        <w:t>以纪念改革开放四十周年为中心，以纪念“五四”运动和“一二·九”运动为带动，每月明确一个教育主题</w:t>
      </w:r>
      <w:r>
        <w:rPr>
          <w:rFonts w:hint="default" w:ascii="仿宋_GB2312" w:hAnsi="仿宋_GB2312" w:eastAsia="仿宋_GB2312"/>
          <w:smallCaps w:val="0"/>
          <w:color w:val="auto"/>
          <w:spacing w:val="0"/>
          <w:position w:val="0"/>
          <w:sz w:val="32"/>
          <w:szCs w:val="32"/>
        </w:rPr>
        <w:t>，推进各级团组织一盘棋，大力培育和践行社会主义核心价值观，深化思政教育的实效性。</w:t>
      </w:r>
    </w:p>
    <w:p>
      <w:pPr>
        <w:numPr>
          <w:ilvl w:val="0"/>
          <w:numId w:val="0"/>
        </w:numPr>
        <w:autoSpaceDE/>
        <w:autoSpaceDN/>
        <w:snapToGrid w:val="0"/>
        <w:spacing w:before="0" w:after="0" w:line="560" w:lineRule="exact"/>
        <w:ind w:right="0" w:firstLine="640"/>
        <w:jc w:val="both"/>
        <w:rPr>
          <w:rFonts w:hint="default" w:ascii="仿宋_GB2312" w:hAnsi="仿宋_GB2312" w:eastAsia="仿宋_GB2312"/>
          <w:color w:val="auto"/>
          <w:position w:val="0"/>
          <w:sz w:val="32"/>
          <w:szCs w:val="32"/>
        </w:rPr>
      </w:pPr>
      <w:r>
        <w:rPr>
          <w:rFonts w:hint="default" w:ascii="楷体_GB2312" w:hAnsi="楷体_GB2312" w:eastAsia="楷体_GB2312"/>
          <w:smallCaps w:val="0"/>
          <w:color w:val="auto"/>
          <w:spacing w:val="0"/>
          <w:position w:val="0"/>
          <w:sz w:val="32"/>
          <w:szCs w:val="32"/>
        </w:rPr>
        <w:t>（三）深化推进网络育人工作。</w:t>
      </w:r>
      <w:r>
        <w:rPr>
          <w:rFonts w:hint="default" w:ascii="仿宋_GB2312" w:hAnsi="仿宋_GB2312" w:eastAsia="仿宋_GB2312"/>
          <w:color w:val="auto"/>
          <w:position w:val="0"/>
          <w:sz w:val="32"/>
          <w:szCs w:val="32"/>
        </w:rPr>
        <w:t>整合建立“两微两网一端三联动”新媒体阵地</w:t>
      </w:r>
      <w:r>
        <w:rPr>
          <w:rFonts w:hint="default" w:ascii="仿宋_GB2312" w:hAnsi="仿宋_GB2312" w:eastAsia="仿宋_GB2312"/>
          <w:smallCaps w:val="0"/>
          <w:color w:val="auto"/>
          <w:spacing w:val="0"/>
          <w:position w:val="0"/>
          <w:sz w:val="32"/>
          <w:szCs w:val="32"/>
        </w:rPr>
        <w:t>，围绕十九大精神宣传、改革开放40周年、国家安全教育、全国“两会”、团的十八大召开等重大主题创作优秀网络文化产品，用“小故事”讲明“大道理”</w:t>
      </w:r>
      <w:r>
        <w:rPr>
          <w:rFonts w:hint="default" w:ascii="仿宋_GB2312" w:hAnsi="仿宋_GB2312" w:eastAsia="仿宋_GB2312"/>
          <w:color w:val="auto"/>
          <w:position w:val="0"/>
          <w:sz w:val="32"/>
          <w:szCs w:val="32"/>
        </w:rPr>
        <w:t>。</w:t>
      </w:r>
    </w:p>
    <w:p>
      <w:pPr>
        <w:numPr>
          <w:ilvl w:val="0"/>
          <w:numId w:val="0"/>
        </w:numPr>
        <w:autoSpaceDE/>
        <w:autoSpaceDN/>
        <w:spacing w:before="0" w:after="0" w:line="560" w:lineRule="exact"/>
        <w:ind w:right="0" w:firstLine="640"/>
        <w:jc w:val="both"/>
        <w:rPr>
          <w:rFonts w:hint="default" w:ascii="仿宋_GB2312" w:hAnsi="仿宋_GB2312" w:eastAsia="仿宋_GB2312"/>
          <w:color w:val="auto"/>
          <w:position w:val="0"/>
          <w:sz w:val="32"/>
          <w:szCs w:val="32"/>
        </w:rPr>
      </w:pPr>
      <w:r>
        <w:rPr>
          <w:rFonts w:hint="default" w:ascii="楷体_GB2312" w:hAnsi="楷体_GB2312" w:eastAsia="楷体_GB2312"/>
          <w:smallCaps w:val="0"/>
          <w:color w:val="auto"/>
          <w:spacing w:val="0"/>
          <w:position w:val="0"/>
          <w:sz w:val="32"/>
          <w:szCs w:val="32"/>
        </w:rPr>
        <w:t>（四）志愿服务培养担当精神。</w:t>
      </w:r>
      <w:r>
        <w:rPr>
          <w:rFonts w:hint="default" w:ascii="仿宋_GB2312" w:hAnsi="仿宋_GB2312" w:eastAsia="仿宋_GB2312"/>
          <w:color w:val="auto"/>
          <w:position w:val="0"/>
          <w:sz w:val="32"/>
          <w:szCs w:val="32"/>
        </w:rPr>
        <w:t>健全志愿服务管理体系，推动志愿服务项目化运作、常态化开展、专业化发展</w:t>
      </w:r>
      <w:r>
        <w:rPr>
          <w:rFonts w:hint="default" w:ascii="仿宋_GB2312" w:hAnsi="仿宋_GB2312" w:eastAsia="仿宋_GB2312"/>
          <w:smallCaps w:val="0"/>
          <w:color w:val="auto"/>
          <w:spacing w:val="0"/>
          <w:position w:val="0"/>
          <w:sz w:val="32"/>
          <w:szCs w:val="32"/>
        </w:rPr>
        <w:t>。做好110周年校庆志愿者选拔培训工作。推动学生在“志愿汇”注册，完善服务时长纪录和激励。开展首届志愿服务</w:t>
      </w:r>
      <w:r>
        <w:rPr>
          <w:rFonts w:hint="default" w:ascii="仿宋_GB2312" w:hAnsi="仿宋_GB2312" w:eastAsia="仿宋_GB2312"/>
          <w:color w:val="auto"/>
          <w:position w:val="0"/>
          <w:sz w:val="32"/>
          <w:szCs w:val="32"/>
        </w:rPr>
        <w:t>大赛，培育优秀项目。做细“大学生志愿服务西部计划”和研究生支教团选拔培养工作，弘扬志愿服务文化，引导学生在志愿服务中增强担当、树立家国情怀。</w:t>
      </w:r>
    </w:p>
    <w:p>
      <w:pPr>
        <w:numPr>
          <w:ilvl w:val="0"/>
          <w:numId w:val="0"/>
        </w:numPr>
        <w:autoSpaceDE/>
        <w:autoSpaceDN/>
        <w:spacing w:before="0" w:after="0" w:line="560" w:lineRule="exact"/>
        <w:ind w:right="0" w:firstLine="643"/>
        <w:jc w:val="both"/>
        <w:rPr>
          <w:rFonts w:hint="default" w:ascii="仿宋_GB2312" w:hAnsi="仿宋_GB2312" w:eastAsia="仿宋_GB2312"/>
          <w:color w:val="auto"/>
          <w:position w:val="0"/>
          <w:sz w:val="32"/>
          <w:szCs w:val="32"/>
        </w:rPr>
      </w:pPr>
      <w:r>
        <w:rPr>
          <w:rFonts w:hint="default" w:ascii="楷体_GB2312" w:hAnsi="楷体_GB2312" w:eastAsia="楷体_GB2312"/>
          <w:smallCaps w:val="0"/>
          <w:color w:val="auto"/>
          <w:spacing w:val="0"/>
          <w:position w:val="0"/>
          <w:sz w:val="32"/>
          <w:szCs w:val="32"/>
        </w:rPr>
        <w:t>（五）培育选树身边的优秀典型。</w:t>
      </w:r>
      <w:r>
        <w:rPr>
          <w:rFonts w:hint="default" w:ascii="仿宋_GB2312" w:hAnsi="仿宋_GB2312" w:eastAsia="仿宋_GB2312"/>
          <w:color w:val="auto"/>
          <w:position w:val="0"/>
          <w:sz w:val="32"/>
          <w:szCs w:val="32"/>
        </w:rPr>
        <w:t>完善共青团荣誉评价体系，发挥好评优的正向引导作用。多维度选树宣传典型，用“身边的人、感人的事”引导学生见贤思齐、比学赶超。</w:t>
      </w:r>
    </w:p>
    <w:p>
      <w:pPr>
        <w:numPr>
          <w:ilvl w:val="0"/>
          <w:numId w:val="0"/>
        </w:numPr>
        <w:autoSpaceDE/>
        <w:autoSpaceDN/>
        <w:spacing w:before="0" w:after="0" w:line="560" w:lineRule="exact"/>
        <w:ind w:right="0" w:firstLine="640"/>
        <w:jc w:val="both"/>
        <w:rPr>
          <w:rFonts w:hint="default" w:ascii="黑体" w:hAnsi="黑体" w:eastAsia="黑体"/>
          <w:smallCaps w:val="0"/>
          <w:color w:val="auto"/>
          <w:spacing w:val="0"/>
          <w:position w:val="0"/>
          <w:sz w:val="32"/>
          <w:szCs w:val="32"/>
        </w:rPr>
      </w:pPr>
      <w:r>
        <w:rPr>
          <w:rFonts w:hint="default" w:ascii="黑体" w:hAnsi="黑体" w:eastAsia="黑体"/>
          <w:smallCaps w:val="0"/>
          <w:color w:val="auto"/>
          <w:spacing w:val="0"/>
          <w:position w:val="0"/>
          <w:sz w:val="32"/>
          <w:szCs w:val="32"/>
        </w:rPr>
        <w:t xml:space="preserve">二、聚焦精准服务学生，强化一、二课堂联动共享 </w:t>
      </w:r>
    </w:p>
    <w:p>
      <w:pPr>
        <w:numPr>
          <w:ilvl w:val="0"/>
          <w:numId w:val="0"/>
        </w:numPr>
        <w:autoSpaceDE/>
        <w:autoSpaceDN/>
        <w:spacing w:before="0" w:after="0" w:line="560" w:lineRule="exact"/>
        <w:ind w:right="0" w:firstLine="640"/>
        <w:jc w:val="both"/>
        <w:rPr>
          <w:rFonts w:hint="default" w:ascii="仿宋_GB2312" w:hAnsi="仿宋_GB2312" w:eastAsia="仿宋_GB2312"/>
          <w:smallCaps w:val="0"/>
          <w:color w:val="auto"/>
          <w:spacing w:val="0"/>
          <w:position w:val="0"/>
          <w:sz w:val="32"/>
          <w:szCs w:val="32"/>
        </w:rPr>
      </w:pPr>
      <w:r>
        <w:rPr>
          <w:rFonts w:hint="default" w:ascii="楷体_GB2312" w:hAnsi="楷体_GB2312" w:eastAsia="楷体_GB2312"/>
          <w:smallCaps w:val="0"/>
          <w:color w:val="auto"/>
          <w:spacing w:val="0"/>
          <w:position w:val="0"/>
          <w:sz w:val="32"/>
          <w:szCs w:val="32"/>
        </w:rPr>
        <w:t>（六）培养学生“双创”能力。</w:t>
      </w:r>
      <w:r>
        <w:rPr>
          <w:rFonts w:hint="default" w:ascii="仿宋_GB2312" w:hAnsi="仿宋_GB2312" w:eastAsia="仿宋_GB2312"/>
          <w:smallCaps w:val="0"/>
          <w:color w:val="auto"/>
          <w:spacing w:val="0"/>
          <w:position w:val="0"/>
          <w:sz w:val="32"/>
          <w:szCs w:val="32"/>
        </w:rPr>
        <w:t>优化创新创业能力培育链条，着眼“创青春”“互联网+”大赛，提升学生的科技创新能力和创业能力。推进“创新创业项目”和“学生学术科技创新团队”的实施，打造一批高水平的创新创业团队和项目。以打造创新创业街区为契机，推动学生创业项目孵化和科技成果的产学研结合。建立教师指导学生创新创业活动的激励保障机制。</w:t>
      </w:r>
    </w:p>
    <w:p>
      <w:pPr>
        <w:numPr>
          <w:ilvl w:val="0"/>
          <w:numId w:val="0"/>
        </w:numPr>
        <w:autoSpaceDE/>
        <w:autoSpaceDN/>
        <w:spacing w:before="0" w:after="0" w:line="560" w:lineRule="exact"/>
        <w:ind w:right="0" w:firstLine="640"/>
        <w:jc w:val="both"/>
        <w:rPr>
          <w:rFonts w:hint="default" w:ascii="仿宋_GB2312" w:hAnsi="仿宋_GB2312" w:eastAsia="仿宋_GB2312"/>
          <w:smallCaps w:val="0"/>
          <w:color w:val="auto"/>
          <w:spacing w:val="0"/>
          <w:position w:val="0"/>
          <w:sz w:val="32"/>
          <w:szCs w:val="32"/>
        </w:rPr>
      </w:pPr>
      <w:r>
        <w:rPr>
          <w:rFonts w:hint="default" w:ascii="楷体_GB2312" w:hAnsi="楷体_GB2312" w:eastAsia="楷体_GB2312"/>
          <w:smallCaps w:val="0"/>
          <w:color w:val="auto"/>
          <w:spacing w:val="0"/>
          <w:position w:val="0"/>
          <w:sz w:val="32"/>
          <w:szCs w:val="32"/>
        </w:rPr>
        <w:t>（七）提升社会实践内涵和水平。</w:t>
      </w:r>
      <w:r>
        <w:rPr>
          <w:rFonts w:hint="default" w:ascii="仿宋_GB2312" w:hAnsi="仿宋_GB2312" w:eastAsia="仿宋_GB2312"/>
          <w:smallCaps w:val="0"/>
          <w:color w:val="auto"/>
          <w:spacing w:val="0"/>
          <w:position w:val="0"/>
          <w:sz w:val="32"/>
          <w:szCs w:val="32"/>
        </w:rPr>
        <w:t>以习近平新时代中国特色社会主义思想专项宣讲团为统领，开展学习宣传贯彻阐释党的十九大精神专项实践。</w:t>
      </w:r>
      <w:r>
        <w:rPr>
          <w:rFonts w:hint="default" w:ascii="仿宋_GB2312" w:hAnsi="仿宋_GB2312" w:eastAsia="仿宋_GB2312"/>
          <w:b w:val="0"/>
          <w:smallCaps w:val="0"/>
          <w:color w:val="auto"/>
          <w:spacing w:val="0"/>
          <w:position w:val="0"/>
          <w:sz w:val="32"/>
          <w:szCs w:val="32"/>
        </w:rPr>
        <w:t>开展“一带一路”长效社会实践，召开“一带一路”青年峰会。</w:t>
      </w:r>
      <w:r>
        <w:rPr>
          <w:rFonts w:hint="default" w:ascii="仿宋_GB2312" w:hAnsi="仿宋_GB2312" w:eastAsia="仿宋_GB2312"/>
          <w:smallCaps w:val="0"/>
          <w:color w:val="auto"/>
          <w:spacing w:val="0"/>
          <w:position w:val="0"/>
          <w:sz w:val="32"/>
          <w:szCs w:val="32"/>
        </w:rPr>
        <w:t>推动“长征行者”“科技支农”“精准扶贫”“文化传承”等社会实践活动持续深入开展。加强社会实践基地建设，提高学生社会化程度。</w:t>
      </w:r>
    </w:p>
    <w:p>
      <w:pPr>
        <w:numPr>
          <w:ilvl w:val="0"/>
          <w:numId w:val="0"/>
        </w:numPr>
        <w:autoSpaceDE/>
        <w:autoSpaceDN/>
        <w:spacing w:before="0" w:after="0" w:line="560" w:lineRule="exact"/>
        <w:ind w:right="0" w:firstLine="640"/>
        <w:jc w:val="both"/>
        <w:rPr>
          <w:rFonts w:hint="default" w:ascii="仿宋_GB2312" w:hAnsi="仿宋_GB2312" w:eastAsia="仿宋_GB2312"/>
          <w:color w:val="auto"/>
          <w:position w:val="0"/>
          <w:sz w:val="32"/>
          <w:szCs w:val="32"/>
        </w:rPr>
      </w:pPr>
      <w:r>
        <w:rPr>
          <w:rFonts w:hint="default" w:ascii="楷体_GB2312" w:hAnsi="楷体_GB2312" w:eastAsia="楷体_GB2312"/>
          <w:smallCaps w:val="0"/>
          <w:color w:val="auto"/>
          <w:spacing w:val="0"/>
          <w:position w:val="0"/>
          <w:sz w:val="32"/>
          <w:szCs w:val="32"/>
        </w:rPr>
        <w:t>（八）提高校园文化活动育人质量。</w:t>
      </w:r>
      <w:r>
        <w:rPr>
          <w:rFonts w:hint="default" w:ascii="仿宋_GB2312" w:hAnsi="仿宋_GB2312" w:eastAsia="仿宋_GB2312"/>
          <w:smallCaps w:val="0"/>
          <w:color w:val="auto"/>
          <w:spacing w:val="0"/>
          <w:position w:val="0"/>
          <w:sz w:val="32"/>
          <w:szCs w:val="32"/>
        </w:rPr>
        <w:t>以庆祝兰州大学110周年校庆为契机，举办校庆氛围营造系列活动，落实校庆专项文体活动安排。加强“一学院一品牌”和“十大精品校园文化活动”项目培育，发挥精品活动示范作用。统筹开展好“走下网络，走出宿舍，走向操场”主题群众性课外体育锻炼活动，提高校园文化活动普及性。推动成立学生艺术教育发展中心，建设校园文化活动专家顾问团队，提升现有</w:t>
      </w:r>
      <w:r>
        <w:rPr>
          <w:rFonts w:hint="default" w:ascii="仿宋_GB2312" w:hAnsi="仿宋_GB2312" w:eastAsia="仿宋_GB2312"/>
          <w:color w:val="auto"/>
          <w:position w:val="0"/>
          <w:sz w:val="32"/>
          <w:szCs w:val="32"/>
        </w:rPr>
        <w:t>艺术社团专业性。</w:t>
      </w:r>
    </w:p>
    <w:p>
      <w:pPr>
        <w:numPr>
          <w:ilvl w:val="0"/>
          <w:numId w:val="0"/>
        </w:numPr>
        <w:autoSpaceDE/>
        <w:autoSpaceDN/>
        <w:spacing w:before="0" w:after="0" w:line="560" w:lineRule="exact"/>
        <w:ind w:right="0" w:firstLine="640"/>
        <w:jc w:val="both"/>
        <w:rPr>
          <w:rFonts w:hint="default" w:ascii="仿宋_GB2312" w:hAnsi="仿宋_GB2312" w:eastAsia="仿宋_GB2312"/>
          <w:color w:val="auto"/>
          <w:position w:val="0"/>
          <w:sz w:val="32"/>
          <w:szCs w:val="32"/>
        </w:rPr>
      </w:pPr>
      <w:r>
        <w:rPr>
          <w:rFonts w:hint="default" w:ascii="楷体_GB2312" w:hAnsi="楷体_GB2312" w:eastAsia="楷体_GB2312"/>
          <w:smallCaps w:val="0"/>
          <w:color w:val="auto"/>
          <w:spacing w:val="0"/>
          <w:position w:val="0"/>
          <w:sz w:val="32"/>
          <w:szCs w:val="32"/>
        </w:rPr>
        <w:t>（九）深入推进“第二课堂成绩单”制度。</w:t>
      </w:r>
      <w:r>
        <w:rPr>
          <w:rFonts w:hint="default" w:ascii="仿宋_GB2312" w:hAnsi="仿宋_GB2312" w:eastAsia="仿宋_GB2312"/>
          <w:color w:val="auto"/>
          <w:position w:val="0"/>
          <w:sz w:val="32"/>
          <w:szCs w:val="32"/>
        </w:rPr>
        <w:t>制定《兰州大学“第二课堂”育人实施方案》，统筹项目实施，形成育人合力，搭建学生、学校、社会有效连接平台。</w:t>
      </w:r>
    </w:p>
    <w:p>
      <w:pPr>
        <w:numPr>
          <w:ilvl w:val="0"/>
          <w:numId w:val="0"/>
        </w:numPr>
        <w:autoSpaceDE/>
        <w:autoSpaceDN/>
        <w:spacing w:before="0" w:after="0" w:line="560" w:lineRule="exact"/>
        <w:ind w:right="0" w:firstLine="640"/>
        <w:jc w:val="both"/>
        <w:rPr>
          <w:rFonts w:hint="default" w:ascii="黑体" w:hAnsi="黑体" w:eastAsia="黑体"/>
          <w:smallCaps w:val="0"/>
          <w:color w:val="auto"/>
          <w:spacing w:val="0"/>
          <w:position w:val="0"/>
          <w:sz w:val="32"/>
          <w:szCs w:val="32"/>
        </w:rPr>
      </w:pPr>
      <w:r>
        <w:rPr>
          <w:rFonts w:hint="default" w:ascii="黑体" w:hAnsi="黑体" w:eastAsia="黑体"/>
          <w:smallCaps w:val="0"/>
          <w:color w:val="auto"/>
          <w:spacing w:val="0"/>
          <w:position w:val="0"/>
          <w:sz w:val="32"/>
          <w:szCs w:val="32"/>
        </w:rPr>
        <w:t xml:space="preserve">三、聚焦及时关照学生，充分发挥桥梁纽带作用 </w:t>
      </w:r>
    </w:p>
    <w:p>
      <w:pPr>
        <w:numPr>
          <w:ilvl w:val="0"/>
          <w:numId w:val="0"/>
        </w:numPr>
        <w:autoSpaceDE/>
        <w:autoSpaceDN/>
        <w:spacing w:before="0" w:after="0" w:line="560" w:lineRule="exact"/>
        <w:ind w:right="0" w:firstLine="640"/>
        <w:jc w:val="both"/>
        <w:rPr>
          <w:rFonts w:hint="default" w:ascii="仿宋_GB2312" w:hAnsi="仿宋_GB2312" w:eastAsia="仿宋_GB2312"/>
          <w:smallCaps w:val="0"/>
          <w:color w:val="auto"/>
          <w:spacing w:val="0"/>
          <w:position w:val="0"/>
          <w:sz w:val="32"/>
          <w:szCs w:val="32"/>
        </w:rPr>
      </w:pPr>
      <w:r>
        <w:rPr>
          <w:rFonts w:hint="default" w:ascii="楷体_GB2312" w:hAnsi="楷体_GB2312" w:eastAsia="楷体_GB2312"/>
          <w:smallCaps w:val="0"/>
          <w:color w:val="auto"/>
          <w:spacing w:val="0"/>
          <w:position w:val="0"/>
          <w:sz w:val="32"/>
          <w:szCs w:val="32"/>
        </w:rPr>
        <w:t>（十）凝聚爱校荣校力量。</w:t>
      </w:r>
      <w:r>
        <w:rPr>
          <w:rFonts w:hint="default" w:ascii="仿宋_GB2312" w:hAnsi="仿宋_GB2312" w:eastAsia="仿宋_GB2312"/>
          <w:smallCaps w:val="0"/>
          <w:color w:val="auto"/>
          <w:spacing w:val="0"/>
          <w:position w:val="0"/>
          <w:sz w:val="32"/>
          <w:szCs w:val="32"/>
        </w:rPr>
        <w:t>以迎接建校110周年为契机，开展“爱我兰大，立志成才”主题教育活动，交流展演原创话剧《江隆基--从北大到兰大》，开展“兰大之美”系列宣传。组织110周年校庆氛围营造系列校园文化活动。</w:t>
      </w:r>
    </w:p>
    <w:p>
      <w:pPr>
        <w:numPr>
          <w:ilvl w:val="0"/>
          <w:numId w:val="0"/>
        </w:numPr>
        <w:autoSpaceDE/>
        <w:autoSpaceDN/>
        <w:spacing w:before="0" w:after="0" w:line="560" w:lineRule="exact"/>
        <w:ind w:right="0" w:firstLine="640"/>
        <w:jc w:val="both"/>
        <w:rPr>
          <w:rFonts w:hint="default" w:ascii="仿宋_GB2312" w:hAnsi="仿宋_GB2312" w:eastAsia="仿宋_GB2312"/>
          <w:color w:val="auto"/>
          <w:position w:val="0"/>
          <w:sz w:val="32"/>
          <w:szCs w:val="32"/>
        </w:rPr>
      </w:pPr>
      <w:r>
        <w:rPr>
          <w:rFonts w:hint="default" w:ascii="楷体_GB2312" w:hAnsi="楷体_GB2312" w:eastAsia="楷体_GB2312"/>
          <w:smallCaps w:val="0"/>
          <w:color w:val="auto"/>
          <w:spacing w:val="0"/>
          <w:position w:val="0"/>
          <w:sz w:val="32"/>
          <w:szCs w:val="32"/>
        </w:rPr>
        <w:t>（十一）畅通学生权益服务渠道。</w:t>
      </w:r>
      <w:r>
        <w:rPr>
          <w:rFonts w:hint="default" w:ascii="仿宋_GB2312" w:hAnsi="仿宋_GB2312" w:eastAsia="仿宋_GB2312"/>
          <w:color w:val="auto"/>
          <w:position w:val="0"/>
          <w:sz w:val="32"/>
          <w:szCs w:val="32"/>
        </w:rPr>
        <w:t>成立学生权益服务委员会，定期开展座谈会，畅通意见征集和反馈机制，切实解决学生的实际问题。开展“我为兰大献一策”议案征集，凝聚学生在助力学校“双一流”建设中的智慧。开展与后勤等服务保障部门的交流和角色互换体验活动，增强学生的感恩意识和协作精神。</w:t>
      </w:r>
    </w:p>
    <w:p>
      <w:pPr>
        <w:numPr>
          <w:ilvl w:val="0"/>
          <w:numId w:val="0"/>
        </w:numPr>
        <w:autoSpaceDE w:val="0"/>
        <w:autoSpaceDN w:val="0"/>
        <w:spacing w:before="0" w:after="0" w:line="560" w:lineRule="exact"/>
        <w:ind w:right="0" w:firstLine="640"/>
        <w:jc w:val="left"/>
        <w:rPr>
          <w:rFonts w:hint="default" w:ascii="仿宋_GB2312" w:hAnsi="仿宋_GB2312" w:eastAsia="仿宋_GB2312"/>
          <w:color w:val="auto"/>
          <w:position w:val="0"/>
          <w:sz w:val="32"/>
          <w:szCs w:val="32"/>
        </w:rPr>
      </w:pPr>
      <w:r>
        <w:rPr>
          <w:rFonts w:hint="default" w:ascii="楷体_GB2312" w:hAnsi="楷体_GB2312" w:eastAsia="楷体_GB2312"/>
          <w:smallCaps w:val="0"/>
          <w:color w:val="auto"/>
          <w:spacing w:val="0"/>
          <w:position w:val="0"/>
          <w:sz w:val="32"/>
          <w:szCs w:val="32"/>
        </w:rPr>
        <w:t>（十二）营造学生成长的优良环境。</w:t>
      </w:r>
      <w:r>
        <w:rPr>
          <w:rFonts w:hint="default" w:ascii="仿宋_GB2312" w:hAnsi="仿宋_GB2312" w:eastAsia="仿宋_GB2312"/>
          <w:color w:val="auto"/>
          <w:position w:val="0"/>
          <w:sz w:val="32"/>
          <w:szCs w:val="32"/>
        </w:rPr>
        <w:t>开展“我最喜爱的十大教师”评选、文明宿舍评建、“最美兰大人”评选等活动。开展“课堂拒绝手机”活动，引导学生认真上好每一堂课。组织学生在建设美丽校园、节约校园、安全校园、和谐校园中积极行动、主动作为。</w:t>
      </w:r>
    </w:p>
    <w:p>
      <w:pPr>
        <w:numPr>
          <w:ilvl w:val="0"/>
          <w:numId w:val="0"/>
        </w:numPr>
        <w:autoSpaceDE/>
        <w:autoSpaceDN/>
        <w:spacing w:before="0" w:after="0" w:line="560" w:lineRule="exact"/>
        <w:ind w:right="0" w:firstLine="640"/>
        <w:jc w:val="both"/>
        <w:rPr>
          <w:rFonts w:hint="default" w:ascii="仿宋_GB2312" w:hAnsi="仿宋_GB2312" w:eastAsia="仿宋_GB2312"/>
          <w:color w:val="auto"/>
          <w:position w:val="0"/>
          <w:sz w:val="32"/>
          <w:szCs w:val="32"/>
        </w:rPr>
      </w:pPr>
      <w:r>
        <w:rPr>
          <w:rFonts w:hint="default" w:ascii="楷体_GB2312" w:hAnsi="楷体_GB2312" w:eastAsia="楷体_GB2312"/>
          <w:smallCaps w:val="0"/>
          <w:color w:val="auto"/>
          <w:spacing w:val="0"/>
          <w:position w:val="0"/>
          <w:sz w:val="32"/>
          <w:szCs w:val="32"/>
        </w:rPr>
        <w:t>（十三）发挥学生组织的独特作用。</w:t>
      </w:r>
      <w:r>
        <w:rPr>
          <w:rFonts w:hint="default" w:ascii="仿宋_GB2312" w:hAnsi="仿宋_GB2312" w:eastAsia="仿宋_GB2312"/>
          <w:color w:val="auto"/>
          <w:position w:val="0"/>
          <w:sz w:val="32"/>
          <w:szCs w:val="32"/>
        </w:rPr>
        <w:t>完善党领导下的“一心双环”组织格局，组织召开第十九次学代会和第十二次研代会，制定印发《兰州大学学生会、研究生会改革方案》，充分发挥学生组织在服务学生成长、搭建师生桥梁、推动学校发展等方面的独特作用。</w:t>
      </w:r>
    </w:p>
    <w:p>
      <w:pPr>
        <w:numPr>
          <w:ilvl w:val="0"/>
          <w:numId w:val="0"/>
        </w:numPr>
        <w:autoSpaceDE/>
        <w:autoSpaceDN/>
        <w:spacing w:before="0" w:after="0" w:line="560" w:lineRule="exact"/>
        <w:ind w:right="0" w:firstLine="640"/>
        <w:jc w:val="both"/>
        <w:rPr>
          <w:rFonts w:hint="default" w:ascii="黑体" w:hAnsi="黑体" w:eastAsia="黑体"/>
          <w:smallCaps w:val="0"/>
          <w:color w:val="auto"/>
          <w:spacing w:val="0"/>
          <w:position w:val="0"/>
          <w:sz w:val="32"/>
          <w:szCs w:val="32"/>
        </w:rPr>
      </w:pPr>
      <w:r>
        <w:rPr>
          <w:rFonts w:hint="default" w:ascii="黑体" w:hAnsi="黑体" w:eastAsia="黑体"/>
          <w:smallCaps w:val="0"/>
          <w:color w:val="auto"/>
          <w:spacing w:val="0"/>
          <w:position w:val="0"/>
          <w:sz w:val="32"/>
          <w:szCs w:val="32"/>
        </w:rPr>
        <w:t>四、聚焦主动围绕学生，打造学生身边的共青团</w:t>
      </w:r>
    </w:p>
    <w:p>
      <w:pPr>
        <w:numPr>
          <w:ilvl w:val="0"/>
          <w:numId w:val="0"/>
        </w:numPr>
        <w:autoSpaceDE/>
        <w:autoSpaceDN/>
        <w:spacing w:before="0" w:after="0" w:line="560" w:lineRule="exact"/>
        <w:ind w:right="0" w:firstLine="640"/>
        <w:jc w:val="both"/>
        <w:rPr>
          <w:rFonts w:hint="default" w:ascii="仿宋_GB2312" w:hAnsi="仿宋_GB2312" w:eastAsia="仿宋_GB2312"/>
          <w:color w:val="auto"/>
          <w:position w:val="0"/>
          <w:sz w:val="32"/>
          <w:szCs w:val="32"/>
        </w:rPr>
      </w:pPr>
      <w:r>
        <w:rPr>
          <w:rFonts w:hint="default" w:ascii="楷体_GB2312" w:hAnsi="楷体_GB2312" w:eastAsia="楷体_GB2312"/>
          <w:smallCaps w:val="0"/>
          <w:color w:val="auto"/>
          <w:spacing w:val="0"/>
          <w:position w:val="0"/>
          <w:sz w:val="32"/>
          <w:szCs w:val="32"/>
        </w:rPr>
        <w:t>（十四）打造学生身边的共青团。</w:t>
      </w:r>
      <w:r>
        <w:rPr>
          <w:rFonts w:hint="default" w:ascii="仿宋_GB2312" w:hAnsi="仿宋_GB2312" w:eastAsia="仿宋_GB2312"/>
          <w:color w:val="auto"/>
          <w:position w:val="0"/>
          <w:sz w:val="32"/>
          <w:szCs w:val="32"/>
        </w:rPr>
        <w:t>推进“改革再出发”，强化督导检查，推进改革措施落地生根。推动把学院团建纳入学院党建规划和考核，落实学院党政联席会定期听取共青团工作汇报制度。开展共青团改革满意度调查与整改，建立“众创众筹众评”项目，使学生参与工作的全过程，打造学生伸手可及的共青团。</w:t>
      </w:r>
    </w:p>
    <w:p>
      <w:pPr>
        <w:numPr>
          <w:ilvl w:val="0"/>
          <w:numId w:val="0"/>
        </w:numPr>
        <w:autoSpaceDE/>
        <w:autoSpaceDN/>
        <w:spacing w:before="0" w:after="0" w:line="560" w:lineRule="exact"/>
        <w:ind w:right="0" w:firstLine="480"/>
        <w:jc w:val="both"/>
        <w:rPr>
          <w:rFonts w:hint="default" w:ascii="仿宋_GB2312" w:hAnsi="仿宋_GB2312" w:eastAsia="仿宋_GB2312"/>
          <w:color w:val="auto"/>
          <w:position w:val="0"/>
          <w:sz w:val="32"/>
          <w:szCs w:val="32"/>
        </w:rPr>
      </w:pPr>
      <w:r>
        <w:rPr>
          <w:rFonts w:hint="default" w:ascii="楷体_GB2312" w:hAnsi="楷体_GB2312" w:eastAsia="楷体_GB2312"/>
          <w:smallCaps w:val="0"/>
          <w:color w:val="auto"/>
          <w:spacing w:val="0"/>
          <w:position w:val="0"/>
          <w:sz w:val="32"/>
          <w:szCs w:val="32"/>
        </w:rPr>
        <w:t>（十五）打造学生身边的团干部和学生骨干</w:t>
      </w:r>
      <w:r>
        <w:rPr>
          <w:rFonts w:hint="default" w:ascii="仿宋_GB2312" w:hAnsi="仿宋_GB2312" w:eastAsia="仿宋_GB2312"/>
          <w:smallCaps w:val="0"/>
          <w:color w:val="auto"/>
          <w:spacing w:val="0"/>
          <w:position w:val="0"/>
          <w:sz w:val="32"/>
          <w:szCs w:val="32"/>
        </w:rPr>
        <w:t>。从严管理，加强培训，深入落实直接联系服务学生制度，全面推行团干部围绕学生学习生活的“三进”制度，组织团干部定期与学生同堂、同餐、同学习，打造学生身边的团干部。制</w:t>
      </w:r>
      <w:bookmarkStart w:id="0" w:name="_GoBack"/>
      <w:bookmarkEnd w:id="0"/>
      <w:r>
        <w:rPr>
          <w:rFonts w:hint="default" w:ascii="仿宋_GB2312" w:hAnsi="仿宋_GB2312" w:eastAsia="仿宋_GB2312"/>
          <w:smallCaps w:val="0"/>
          <w:color w:val="auto"/>
          <w:spacing w:val="0"/>
          <w:position w:val="0"/>
          <w:sz w:val="32"/>
          <w:szCs w:val="32"/>
        </w:rPr>
        <w:t>定《兰州大学挂职、兼职团干部选拔任用管理办法》，建好一支来源广泛的团干部队伍。开展好“萃英登峰”学生骨</w:t>
      </w:r>
      <w:r>
        <w:rPr>
          <w:rFonts w:hint="default" w:ascii="仿宋_GB2312" w:hAnsi="仿宋_GB2312" w:eastAsia="仿宋_GB2312"/>
          <w:color w:val="auto"/>
          <w:position w:val="0"/>
          <w:sz w:val="32"/>
          <w:szCs w:val="32"/>
        </w:rPr>
        <w:t>干培训计划，着力培养和造就一批信念坚定、品学兼优、朝气蓬勃、心系同学的学生骨干。</w:t>
      </w:r>
    </w:p>
    <w:p>
      <w:pPr>
        <w:numPr>
          <w:ilvl w:val="0"/>
          <w:numId w:val="0"/>
        </w:numPr>
        <w:autoSpaceDE/>
        <w:autoSpaceDN/>
        <w:spacing w:before="0" w:after="0" w:line="560" w:lineRule="exact"/>
        <w:ind w:right="0" w:firstLine="640"/>
        <w:jc w:val="both"/>
        <w:rPr>
          <w:rFonts w:hint="default" w:ascii="仿宋_GB2312" w:hAnsi="仿宋_GB2312" w:eastAsia="仿宋_GB2312"/>
          <w:color w:val="auto"/>
          <w:position w:val="0"/>
          <w:sz w:val="32"/>
          <w:szCs w:val="32"/>
        </w:rPr>
      </w:pPr>
      <w:r>
        <w:rPr>
          <w:rFonts w:hint="default" w:ascii="楷体_GB2312" w:hAnsi="楷体_GB2312" w:eastAsia="楷体_GB2312"/>
          <w:smallCaps w:val="0"/>
          <w:color w:val="auto"/>
          <w:spacing w:val="0"/>
          <w:position w:val="0"/>
          <w:sz w:val="32"/>
          <w:szCs w:val="32"/>
        </w:rPr>
        <w:t>（十六）打造学生心中的团支部</w:t>
      </w:r>
      <w:r>
        <w:rPr>
          <w:rFonts w:hint="default" w:ascii="仿宋_GB2312" w:hAnsi="仿宋_GB2312" w:eastAsia="仿宋_GB2312"/>
          <w:smallCaps w:val="0"/>
          <w:color w:val="auto"/>
          <w:spacing w:val="0"/>
          <w:position w:val="0"/>
          <w:sz w:val="32"/>
          <w:szCs w:val="32"/>
        </w:rPr>
        <w:t>。</w:t>
      </w:r>
      <w:r>
        <w:rPr>
          <w:rFonts w:hint="default" w:ascii="仿宋_GB2312" w:hAnsi="仿宋_GB2312" w:eastAsia="仿宋_GB2312"/>
          <w:color w:val="auto"/>
          <w:position w:val="0"/>
          <w:sz w:val="32"/>
          <w:szCs w:val="32"/>
        </w:rPr>
        <w:t>严格团支部“三会两制一课”，</w:t>
      </w:r>
      <w:r>
        <w:rPr>
          <w:rFonts w:hint="default" w:ascii="仿宋_GB2312" w:hAnsi="仿宋_GB2312" w:eastAsia="仿宋_GB2312"/>
          <w:smallCaps w:val="0"/>
          <w:color w:val="auto"/>
          <w:spacing w:val="0"/>
          <w:position w:val="0"/>
          <w:sz w:val="32"/>
          <w:szCs w:val="32"/>
        </w:rPr>
        <w:t>加强团员教育管理</w:t>
      </w:r>
      <w:r>
        <w:rPr>
          <w:rFonts w:hint="default" w:ascii="楷体_GB2312" w:hAnsi="楷体_GB2312" w:eastAsia="楷体_GB2312"/>
          <w:smallCaps w:val="0"/>
          <w:color w:val="auto"/>
          <w:spacing w:val="0"/>
          <w:position w:val="0"/>
          <w:sz w:val="32"/>
          <w:szCs w:val="32"/>
        </w:rPr>
        <w:t>。</w:t>
      </w:r>
      <w:r>
        <w:rPr>
          <w:rFonts w:hint="default" w:ascii="仿宋_GB2312" w:hAnsi="仿宋_GB2312" w:eastAsia="仿宋_GB2312"/>
          <w:color w:val="auto"/>
          <w:position w:val="0"/>
          <w:sz w:val="32"/>
          <w:szCs w:val="32"/>
        </w:rPr>
        <w:t>强化团支部达标升级过程督导，实施团支部“活力提升”工程，开展“新起点·新征程”基本技能大赛，扩大推行团支部班委会一体化运行，探索团建多重覆盖，夯实基层团建基础。</w:t>
      </w:r>
    </w:p>
    <w:sectPr>
      <w:footerReference r:id="rId3" w:type="default"/>
      <w:pgSz w:w="11906" w:h="16838"/>
      <w:pgMar w:top="1440" w:right="1800" w:bottom="1440" w:left="1800" w:header="851" w:footer="992" w:gutter="0"/>
      <w:pgNumType w:fmt="decimal"/>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F0502020204030204"/>
    <w:charset w:val="00"/>
    <w:family w:val="auto"/>
    <w:pitch w:val="default"/>
    <w:sig w:usb0="00000000" w:usb1="00000000" w:usb2="00000000" w:usb3="00000000" w:csb0="FFFFFFFF" w:csb1="00000000"/>
  </w:font>
  <w:font w:name="楷体_GB2312">
    <w:altName w:val="楷体"/>
    <w:panose1 w:val="020F0502020204030204"/>
    <w:charset w:val="00"/>
    <w:family w:val="auto"/>
    <w:pitch w:val="default"/>
    <w:sig w:usb0="00000000" w:usb1="00000000" w:usb2="00000000" w:usb3="00000000" w:csb0="FFFFFF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numPr>
        <w:ilvl w:val="0"/>
        <w:numId w:val="0"/>
      </w:numPr>
      <w:autoSpaceDE/>
      <w:autoSpaceDN/>
      <w:snapToGrid w:val="0"/>
      <w:spacing w:before="0" w:after="0" w:line="240" w:lineRule="auto"/>
      <w:ind w:right="0" w:firstLine="0"/>
      <w:jc w:val="center"/>
      <w:rPr>
        <w:rFonts w:hint="default" w:ascii="等线" w:hAnsi="等线" w:eastAsia="等线"/>
        <w:color w:val="auto"/>
        <w:position w:val="0"/>
        <w:sz w:val="18"/>
        <w:szCs w:val="18"/>
      </w:rPr>
    </w:pPr>
    <w:r>
      <w:rPr>
        <w:rFonts w:hint="default" w:ascii="等线" w:hAnsi="等线" w:eastAsia="等线"/>
        <w:color w:val="auto"/>
        <w:position w:val="0"/>
        <w:sz w:val="18"/>
        <w:szCs w:val="18"/>
      </w:rPr>
      <w:fldChar w:fldCharType="begin"/>
    </w:r>
    <w:r>
      <w:instrText xml:space="preserve">PAGE  \* MERGEFORMAT</w:instrText>
    </w:r>
    <w:r>
      <w:fldChar w:fldCharType="separate"/>
    </w:r>
    <w:r>
      <w:rPr>
        <w:rFonts w:hint="default" w:ascii="等线" w:hAnsi="等线" w:eastAsia="等线"/>
        <w:color w:val="auto"/>
        <w:position w:val="0"/>
        <w:sz w:val="18"/>
        <w:szCs w:val="18"/>
      </w:rPr>
      <w:t>3</w:t>
    </w:r>
    <w:r>
      <w:rPr>
        <w:rFonts w:hint="default" w:ascii="等线" w:hAnsi="等线" w:eastAsia="等线"/>
        <w:color w:val="auto"/>
        <w:position w:val="0"/>
        <w:sz w:val="18"/>
        <w:szCs w:val="18"/>
      </w:rPr>
      <w:fldChar w:fldCharType="end"/>
    </w:r>
  </w:p>
  <w:p>
    <w:pPr>
      <w:pStyle w:val="16"/>
      <w:numPr>
        <w:ilvl w:val="0"/>
        <w:numId w:val="0"/>
      </w:numPr>
      <w:autoSpaceDE/>
      <w:autoSpaceDN/>
      <w:snapToGrid w:val="0"/>
      <w:spacing w:before="0" w:after="0" w:line="240" w:lineRule="auto"/>
      <w:ind w:right="0" w:firstLine="0"/>
      <w:jc w:val="left"/>
      <w:rPr>
        <w:rFonts w:hint="default" w:ascii="等线" w:hAnsi="等线" w:eastAsia="等线"/>
        <w:color w:val="auto"/>
        <w:position w:val="0"/>
        <w:sz w:val="18"/>
        <w:szCs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420"/>
  <w:displayHorizontalDrawingGridEvery w:val="0"/>
  <w:displayVerticalDrawingGridEvery w:val="2"/>
  <w:characterSpacingControl w:val="compressPunctuation"/>
  <w:compat>
    <w:balanceSingleByteDoubleByteWidth/>
    <w:doNotExpandShiftReturn/>
    <w:adjustLineHeightInTable/>
    <w:useFELayout/>
    <w:compatSetting w:name="compatibilityMode" w:uri="http://schemas.microsoft.com/office/word" w:val="15"/>
  </w:compat>
  <w:rsids>
    <w:rsidRoot w:val="00000000"/>
    <w:rsid w:val="1D3F6AEE"/>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151" w:semiHidden="0" w:name="header"/>
    <w:lsdException w:uiPriority="153"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6"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0" w:semiHidden="0" w:name="Strong"/>
    <w:lsdException w:qFormat="1" w:unhideWhenUsed="0" w:uiPriority="18"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iPriority="155" w:name="Balloon Text"/>
    <w:lsdException w:unhideWhenUsed="0" w:uiPriority="0" w:semiHidden="0" w:name="Table Grid"/>
    <w:lsdException w:unhideWhenUsed="0" w:uiPriority="0" w:semiHidden="0"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wordWrap/>
      <w:autoSpaceDE/>
      <w:autoSpaceDN/>
      <w:jc w:val="both"/>
    </w:pPr>
    <w:rPr>
      <w:rFonts w:ascii="等线" w:hAnsi="等线" w:eastAsia="等线"/>
      <w:w w:val="100"/>
      <w:sz w:val="21"/>
      <w:szCs w:val="21"/>
      <w:shd w:val="clear"/>
    </w:rPr>
  </w:style>
  <w:style w:type="paragraph" w:styleId="2">
    <w:name w:val="heading 1"/>
    <w:next w:val="1"/>
    <w:qFormat/>
    <w:uiPriority w:val="7"/>
    <w:pPr>
      <w:widowControl/>
      <w:wordWrap/>
      <w:autoSpaceDE/>
      <w:autoSpaceDN/>
      <w:jc w:val="both"/>
    </w:pPr>
    <w:rPr>
      <w:rFonts w:ascii="等线" w:hAnsi="等线" w:eastAsia="等线"/>
      <w:w w:val="100"/>
      <w:sz w:val="28"/>
      <w:szCs w:val="28"/>
      <w:shd w:val="clear"/>
    </w:rPr>
  </w:style>
  <w:style w:type="paragraph" w:styleId="3">
    <w:name w:val="heading 2"/>
    <w:next w:val="1"/>
    <w:qFormat/>
    <w:uiPriority w:val="8"/>
    <w:pPr>
      <w:widowControl/>
      <w:wordWrap/>
      <w:autoSpaceDE/>
      <w:autoSpaceDN/>
      <w:jc w:val="both"/>
    </w:pPr>
    <w:rPr>
      <w:rFonts w:ascii="等线" w:hAnsi="等线" w:eastAsia="等线"/>
      <w:w w:val="100"/>
      <w:sz w:val="21"/>
      <w:szCs w:val="21"/>
      <w:shd w:val="clear"/>
    </w:rPr>
  </w:style>
  <w:style w:type="paragraph" w:styleId="4">
    <w:name w:val="heading 3"/>
    <w:next w:val="1"/>
    <w:qFormat/>
    <w:uiPriority w:val="9"/>
    <w:pPr>
      <w:widowControl/>
      <w:wordWrap/>
      <w:autoSpaceDE/>
      <w:autoSpaceDN/>
      <w:ind w:left="1000" w:hanging="400"/>
      <w:jc w:val="both"/>
    </w:pPr>
    <w:rPr>
      <w:rFonts w:ascii="等线" w:hAnsi="等线" w:eastAsia="等线"/>
      <w:w w:val="100"/>
      <w:sz w:val="21"/>
      <w:szCs w:val="21"/>
      <w:shd w:val="clear"/>
    </w:rPr>
  </w:style>
  <w:style w:type="paragraph" w:styleId="5">
    <w:name w:val="heading 4"/>
    <w:next w:val="1"/>
    <w:qFormat/>
    <w:uiPriority w:val="10"/>
    <w:pPr>
      <w:widowControl/>
      <w:wordWrap/>
      <w:autoSpaceDE/>
      <w:autoSpaceDN/>
      <w:ind w:left="1200" w:hanging="400"/>
      <w:jc w:val="both"/>
    </w:pPr>
    <w:rPr>
      <w:rFonts w:ascii="等线" w:hAnsi="等线" w:eastAsia="等线"/>
      <w:b/>
      <w:w w:val="100"/>
      <w:sz w:val="21"/>
      <w:szCs w:val="21"/>
      <w:shd w:val="clear"/>
    </w:rPr>
  </w:style>
  <w:style w:type="paragraph" w:styleId="6">
    <w:name w:val="heading 5"/>
    <w:next w:val="1"/>
    <w:qFormat/>
    <w:uiPriority w:val="11"/>
    <w:pPr>
      <w:widowControl/>
      <w:wordWrap/>
      <w:autoSpaceDE/>
      <w:autoSpaceDN/>
      <w:ind w:left="1400" w:hanging="400"/>
      <w:jc w:val="both"/>
    </w:pPr>
    <w:rPr>
      <w:rFonts w:ascii="等线" w:hAnsi="等线" w:eastAsia="等线"/>
      <w:w w:val="100"/>
      <w:sz w:val="21"/>
      <w:szCs w:val="21"/>
      <w:shd w:val="clear"/>
    </w:rPr>
  </w:style>
  <w:style w:type="paragraph" w:styleId="7">
    <w:name w:val="heading 6"/>
    <w:next w:val="1"/>
    <w:qFormat/>
    <w:uiPriority w:val="12"/>
    <w:pPr>
      <w:widowControl/>
      <w:wordWrap/>
      <w:autoSpaceDE/>
      <w:autoSpaceDN/>
      <w:ind w:left="1600" w:hanging="400"/>
      <w:jc w:val="both"/>
    </w:pPr>
    <w:rPr>
      <w:rFonts w:ascii="等线" w:hAnsi="等线" w:eastAsia="等线"/>
      <w:b/>
      <w:w w:val="100"/>
      <w:sz w:val="21"/>
      <w:szCs w:val="21"/>
      <w:shd w:val="clear"/>
    </w:rPr>
  </w:style>
  <w:style w:type="paragraph" w:styleId="8">
    <w:name w:val="heading 7"/>
    <w:next w:val="1"/>
    <w:qFormat/>
    <w:uiPriority w:val="13"/>
    <w:pPr>
      <w:widowControl/>
      <w:wordWrap/>
      <w:autoSpaceDE/>
      <w:autoSpaceDN/>
      <w:ind w:left="1800" w:hanging="400"/>
      <w:jc w:val="both"/>
    </w:pPr>
    <w:rPr>
      <w:rFonts w:ascii="等线" w:hAnsi="等线" w:eastAsia="等线"/>
      <w:w w:val="100"/>
      <w:sz w:val="21"/>
      <w:szCs w:val="21"/>
      <w:shd w:val="clear"/>
    </w:rPr>
  </w:style>
  <w:style w:type="paragraph" w:styleId="9">
    <w:name w:val="heading 8"/>
    <w:next w:val="1"/>
    <w:qFormat/>
    <w:uiPriority w:val="14"/>
    <w:pPr>
      <w:widowControl/>
      <w:wordWrap/>
      <w:autoSpaceDE/>
      <w:autoSpaceDN/>
      <w:ind w:left="2000" w:hanging="400"/>
      <w:jc w:val="both"/>
    </w:pPr>
    <w:rPr>
      <w:rFonts w:ascii="等线" w:hAnsi="等线" w:eastAsia="等线"/>
      <w:w w:val="100"/>
      <w:sz w:val="21"/>
      <w:szCs w:val="21"/>
      <w:shd w:val="clear"/>
    </w:rPr>
  </w:style>
  <w:style w:type="paragraph" w:styleId="10">
    <w:name w:val="heading 9"/>
    <w:next w:val="1"/>
    <w:qFormat/>
    <w:uiPriority w:val="15"/>
    <w:pPr>
      <w:widowControl/>
      <w:wordWrap/>
      <w:autoSpaceDE/>
      <w:autoSpaceDN/>
      <w:ind w:left="2200" w:hanging="400"/>
      <w:jc w:val="both"/>
    </w:pPr>
    <w:rPr>
      <w:rFonts w:ascii="等线" w:hAnsi="等线" w:eastAsia="等线"/>
      <w:w w:val="100"/>
      <w:sz w:val="21"/>
      <w:szCs w:val="21"/>
      <w:shd w:val="clear"/>
    </w:rPr>
  </w:style>
  <w:style w:type="character" w:default="1" w:styleId="25">
    <w:name w:val="Default Paragraph Font"/>
    <w:semiHidden/>
    <w:unhideWhenUsed/>
    <w:uiPriority w:val="2"/>
  </w:style>
  <w:style w:type="table" w:default="1" w:styleId="28">
    <w:name w:val="Normal Table"/>
    <w:semiHidden/>
    <w:unhideWhenUsed/>
    <w:uiPriority w:val="3"/>
    <w:tblPr>
      <w:tblLayout w:type="fixed"/>
      <w:tblCellMar>
        <w:top w:w="0" w:type="dxa"/>
        <w:left w:w="108" w:type="dxa"/>
        <w:bottom w:w="0" w:type="dxa"/>
        <w:right w:w="108" w:type="dxa"/>
      </w:tblCellMar>
    </w:tblPr>
  </w:style>
  <w:style w:type="paragraph" w:styleId="11">
    <w:name w:val="toc 7"/>
    <w:next w:val="1"/>
    <w:unhideWhenUsed/>
    <w:qFormat/>
    <w:uiPriority w:val="34"/>
    <w:pPr>
      <w:widowControl/>
      <w:wordWrap/>
      <w:autoSpaceDE/>
      <w:autoSpaceDN/>
      <w:ind w:left="2550" w:firstLine="0"/>
      <w:jc w:val="both"/>
    </w:pPr>
    <w:rPr>
      <w:rFonts w:ascii="等线" w:hAnsi="等线" w:eastAsia="等线"/>
      <w:w w:val="100"/>
      <w:sz w:val="21"/>
      <w:szCs w:val="21"/>
      <w:shd w:val="clear"/>
    </w:rPr>
  </w:style>
  <w:style w:type="paragraph" w:styleId="12">
    <w:name w:val="toc 5"/>
    <w:next w:val="1"/>
    <w:unhideWhenUsed/>
    <w:qFormat/>
    <w:uiPriority w:val="32"/>
    <w:pPr>
      <w:widowControl/>
      <w:wordWrap/>
      <w:autoSpaceDE/>
      <w:autoSpaceDN/>
      <w:ind w:left="1700" w:firstLine="0"/>
      <w:jc w:val="both"/>
    </w:pPr>
    <w:rPr>
      <w:rFonts w:ascii="等线" w:hAnsi="等线" w:eastAsia="等线"/>
      <w:w w:val="100"/>
      <w:sz w:val="21"/>
      <w:szCs w:val="21"/>
      <w:shd w:val="clear"/>
    </w:rPr>
  </w:style>
  <w:style w:type="paragraph" w:styleId="13">
    <w:name w:val="toc 3"/>
    <w:next w:val="1"/>
    <w:unhideWhenUsed/>
    <w:qFormat/>
    <w:uiPriority w:val="30"/>
    <w:pPr>
      <w:widowControl/>
      <w:wordWrap/>
      <w:autoSpaceDE/>
      <w:autoSpaceDN/>
      <w:ind w:left="850" w:firstLine="0"/>
      <w:jc w:val="both"/>
    </w:pPr>
    <w:rPr>
      <w:rFonts w:ascii="等线" w:hAnsi="等线" w:eastAsia="等线"/>
      <w:w w:val="100"/>
      <w:sz w:val="21"/>
      <w:szCs w:val="21"/>
      <w:shd w:val="clear"/>
    </w:rPr>
  </w:style>
  <w:style w:type="paragraph" w:styleId="14">
    <w:name w:val="toc 8"/>
    <w:next w:val="1"/>
    <w:unhideWhenUsed/>
    <w:qFormat/>
    <w:uiPriority w:val="35"/>
    <w:pPr>
      <w:widowControl/>
      <w:wordWrap/>
      <w:autoSpaceDE/>
      <w:autoSpaceDN/>
      <w:ind w:left="2975" w:firstLine="0"/>
      <w:jc w:val="both"/>
    </w:pPr>
    <w:rPr>
      <w:rFonts w:ascii="等线" w:hAnsi="等线" w:eastAsia="等线"/>
      <w:w w:val="100"/>
      <w:sz w:val="21"/>
      <w:szCs w:val="21"/>
      <w:shd w:val="clear"/>
    </w:rPr>
  </w:style>
  <w:style w:type="paragraph" w:styleId="15">
    <w:name w:val="Balloon Text"/>
    <w:basedOn w:val="1"/>
    <w:link w:val="41"/>
    <w:semiHidden/>
    <w:unhideWhenUsed/>
    <w:uiPriority w:val="155"/>
    <w:rPr>
      <w:w w:val="100"/>
      <w:sz w:val="18"/>
      <w:szCs w:val="18"/>
      <w:shd w:val="clear"/>
    </w:rPr>
  </w:style>
  <w:style w:type="paragraph" w:styleId="16">
    <w:name w:val="footer"/>
    <w:basedOn w:val="1"/>
    <w:link w:val="40"/>
    <w:unhideWhenUsed/>
    <w:uiPriority w:val="153"/>
    <w:pPr>
      <w:widowControl/>
      <w:tabs>
        <w:tab w:val="center" w:pos="4153"/>
        <w:tab w:val="right" w:pos="8306"/>
      </w:tabs>
      <w:wordWrap/>
      <w:autoSpaceDE/>
      <w:autoSpaceDN/>
    </w:pPr>
    <w:rPr>
      <w:w w:val="100"/>
      <w:sz w:val="18"/>
      <w:szCs w:val="18"/>
      <w:shd w:val="clear"/>
    </w:rPr>
  </w:style>
  <w:style w:type="paragraph" w:styleId="17">
    <w:name w:val="header"/>
    <w:basedOn w:val="1"/>
    <w:link w:val="39"/>
    <w:unhideWhenUsed/>
    <w:qFormat/>
    <w:uiPriority w:val="151"/>
    <w:pPr>
      <w:widowControl/>
      <w:tabs>
        <w:tab w:val="center" w:pos="4153"/>
        <w:tab w:val="right" w:pos="8306"/>
      </w:tabs>
      <w:wordWrap/>
      <w:autoSpaceDE/>
      <w:autoSpaceDN/>
      <w:jc w:val="center"/>
    </w:pPr>
    <w:rPr>
      <w:w w:val="100"/>
      <w:sz w:val="18"/>
      <w:szCs w:val="18"/>
      <w:shd w:val="clear"/>
    </w:rPr>
  </w:style>
  <w:style w:type="paragraph" w:styleId="18">
    <w:name w:val="toc 1"/>
    <w:next w:val="1"/>
    <w:unhideWhenUsed/>
    <w:qFormat/>
    <w:uiPriority w:val="28"/>
    <w:pPr>
      <w:widowControl/>
      <w:wordWrap/>
      <w:autoSpaceDE/>
      <w:autoSpaceDN/>
      <w:jc w:val="both"/>
    </w:pPr>
    <w:rPr>
      <w:rFonts w:ascii="等线" w:hAnsi="等线" w:eastAsia="等线"/>
      <w:w w:val="100"/>
      <w:sz w:val="21"/>
      <w:szCs w:val="21"/>
      <w:shd w:val="clear"/>
    </w:rPr>
  </w:style>
  <w:style w:type="paragraph" w:styleId="19">
    <w:name w:val="toc 4"/>
    <w:next w:val="1"/>
    <w:unhideWhenUsed/>
    <w:qFormat/>
    <w:uiPriority w:val="31"/>
    <w:pPr>
      <w:widowControl/>
      <w:wordWrap/>
      <w:autoSpaceDE/>
      <w:autoSpaceDN/>
      <w:ind w:left="1275" w:firstLine="0"/>
      <w:jc w:val="both"/>
    </w:pPr>
    <w:rPr>
      <w:rFonts w:ascii="等线" w:hAnsi="等线" w:eastAsia="等线"/>
      <w:w w:val="100"/>
      <w:sz w:val="21"/>
      <w:szCs w:val="21"/>
      <w:shd w:val="clear"/>
    </w:rPr>
  </w:style>
  <w:style w:type="paragraph" w:styleId="20">
    <w:name w:val="Subtitle"/>
    <w:qFormat/>
    <w:uiPriority w:val="16"/>
    <w:pPr>
      <w:widowControl/>
      <w:wordWrap/>
      <w:autoSpaceDE/>
      <w:autoSpaceDN/>
      <w:jc w:val="center"/>
    </w:pPr>
    <w:rPr>
      <w:rFonts w:ascii="等线" w:hAnsi="等线" w:eastAsia="等线"/>
      <w:w w:val="100"/>
      <w:sz w:val="24"/>
      <w:szCs w:val="24"/>
      <w:shd w:val="clear"/>
    </w:rPr>
  </w:style>
  <w:style w:type="paragraph" w:styleId="21">
    <w:name w:val="toc 6"/>
    <w:next w:val="1"/>
    <w:unhideWhenUsed/>
    <w:qFormat/>
    <w:uiPriority w:val="33"/>
    <w:pPr>
      <w:widowControl/>
      <w:wordWrap/>
      <w:autoSpaceDE/>
      <w:autoSpaceDN/>
      <w:ind w:left="2125" w:firstLine="0"/>
      <w:jc w:val="both"/>
    </w:pPr>
    <w:rPr>
      <w:rFonts w:ascii="等线" w:hAnsi="等线" w:eastAsia="等线"/>
      <w:w w:val="100"/>
      <w:sz w:val="21"/>
      <w:szCs w:val="21"/>
      <w:shd w:val="clear"/>
    </w:rPr>
  </w:style>
  <w:style w:type="paragraph" w:styleId="22">
    <w:name w:val="toc 2"/>
    <w:next w:val="1"/>
    <w:unhideWhenUsed/>
    <w:qFormat/>
    <w:uiPriority w:val="29"/>
    <w:pPr>
      <w:widowControl/>
      <w:wordWrap/>
      <w:autoSpaceDE/>
      <w:autoSpaceDN/>
      <w:ind w:left="425" w:firstLine="0"/>
      <w:jc w:val="both"/>
    </w:pPr>
    <w:rPr>
      <w:rFonts w:ascii="等线" w:hAnsi="等线" w:eastAsia="等线"/>
      <w:w w:val="100"/>
      <w:sz w:val="21"/>
      <w:szCs w:val="21"/>
      <w:shd w:val="clear"/>
    </w:rPr>
  </w:style>
  <w:style w:type="paragraph" w:styleId="23">
    <w:name w:val="toc 9"/>
    <w:next w:val="1"/>
    <w:unhideWhenUsed/>
    <w:qFormat/>
    <w:uiPriority w:val="36"/>
    <w:pPr>
      <w:widowControl/>
      <w:wordWrap/>
      <w:autoSpaceDE/>
      <w:autoSpaceDN/>
      <w:ind w:left="3400" w:firstLine="0"/>
      <w:jc w:val="both"/>
    </w:pPr>
    <w:rPr>
      <w:rFonts w:ascii="等线" w:hAnsi="等线" w:eastAsia="等线"/>
      <w:w w:val="100"/>
      <w:sz w:val="21"/>
      <w:szCs w:val="21"/>
      <w:shd w:val="clear"/>
    </w:rPr>
  </w:style>
  <w:style w:type="paragraph" w:styleId="24">
    <w:name w:val="Title"/>
    <w:qFormat/>
    <w:uiPriority w:val="6"/>
    <w:pPr>
      <w:widowControl/>
      <w:wordWrap/>
      <w:autoSpaceDE/>
      <w:autoSpaceDN/>
      <w:jc w:val="center"/>
    </w:pPr>
    <w:rPr>
      <w:rFonts w:ascii="等线" w:hAnsi="等线" w:eastAsia="等线"/>
      <w:b/>
      <w:w w:val="100"/>
      <w:sz w:val="32"/>
      <w:szCs w:val="32"/>
      <w:shd w:val="clear"/>
    </w:rPr>
  </w:style>
  <w:style w:type="character" w:styleId="26">
    <w:name w:val="Strong"/>
    <w:qFormat/>
    <w:uiPriority w:val="20"/>
    <w:rPr>
      <w:b/>
      <w:w w:val="100"/>
      <w:sz w:val="21"/>
      <w:szCs w:val="21"/>
      <w:shd w:val="clear"/>
    </w:rPr>
  </w:style>
  <w:style w:type="character" w:styleId="27">
    <w:name w:val="Emphasis"/>
    <w:qFormat/>
    <w:uiPriority w:val="18"/>
    <w:rPr>
      <w:i/>
      <w:w w:val="100"/>
      <w:sz w:val="21"/>
      <w:szCs w:val="21"/>
      <w:shd w:val="clear"/>
    </w:rPr>
  </w:style>
  <w:style w:type="paragraph" w:styleId="29">
    <w:name w:val="No Spacing"/>
    <w:qFormat/>
    <w:uiPriority w:val="5"/>
    <w:pPr>
      <w:widowControl/>
      <w:wordWrap/>
      <w:autoSpaceDE/>
      <w:autoSpaceDN/>
      <w:jc w:val="both"/>
    </w:pPr>
    <w:rPr>
      <w:rFonts w:ascii="等线" w:hAnsi="等线" w:eastAsia="等线"/>
      <w:w w:val="100"/>
      <w:sz w:val="21"/>
      <w:szCs w:val="21"/>
      <w:shd w:val="clear"/>
    </w:rPr>
  </w:style>
  <w:style w:type="character" w:customStyle="1" w:styleId="30">
    <w:name w:val="Subtle Emphasis"/>
    <w:qFormat/>
    <w:uiPriority w:val="17"/>
    <w:rPr>
      <w:i/>
      <w:color w:val="404040"/>
      <w:w w:val="100"/>
      <w:sz w:val="21"/>
      <w:szCs w:val="21"/>
      <w:shd w:val="clear"/>
    </w:rPr>
  </w:style>
  <w:style w:type="character" w:customStyle="1" w:styleId="31">
    <w:name w:val="Intense Emphasis"/>
    <w:qFormat/>
    <w:uiPriority w:val="19"/>
    <w:rPr>
      <w:i/>
      <w:color w:val="5B9BD5"/>
      <w:w w:val="100"/>
      <w:sz w:val="21"/>
      <w:szCs w:val="21"/>
      <w:shd w:val="clear"/>
    </w:rPr>
  </w:style>
  <w:style w:type="paragraph" w:styleId="32">
    <w:name w:val="Quote"/>
    <w:qFormat/>
    <w:uiPriority w:val="21"/>
    <w:pPr>
      <w:widowControl/>
      <w:wordWrap/>
      <w:autoSpaceDE/>
      <w:autoSpaceDN/>
      <w:ind w:left="864" w:right="864" w:firstLine="0"/>
      <w:jc w:val="center"/>
    </w:pPr>
    <w:rPr>
      <w:rFonts w:ascii="等线" w:hAnsi="等线" w:eastAsia="等线"/>
      <w:i/>
      <w:color w:val="404040"/>
      <w:w w:val="100"/>
      <w:sz w:val="21"/>
      <w:szCs w:val="21"/>
      <w:shd w:val="clear"/>
    </w:rPr>
  </w:style>
  <w:style w:type="paragraph" w:styleId="33">
    <w:name w:val="Intense Quote"/>
    <w:qFormat/>
    <w:uiPriority w:val="22"/>
    <w:pPr>
      <w:widowControl/>
      <w:wordWrap/>
      <w:autoSpaceDE/>
      <w:autoSpaceDN/>
      <w:ind w:left="950" w:right="950" w:firstLine="0"/>
      <w:jc w:val="center"/>
    </w:pPr>
    <w:rPr>
      <w:rFonts w:ascii="等线" w:hAnsi="等线" w:eastAsia="等线"/>
      <w:i/>
      <w:color w:val="5B9BD5"/>
      <w:w w:val="100"/>
      <w:sz w:val="21"/>
      <w:szCs w:val="21"/>
      <w:shd w:val="clear"/>
    </w:rPr>
  </w:style>
  <w:style w:type="character" w:customStyle="1" w:styleId="34">
    <w:name w:val="Subtle Reference"/>
    <w:qFormat/>
    <w:uiPriority w:val="23"/>
    <w:rPr>
      <w:smallCaps/>
      <w:color w:val="5A5A5A"/>
      <w:w w:val="100"/>
      <w:sz w:val="21"/>
      <w:szCs w:val="21"/>
      <w:shd w:val="clear"/>
    </w:rPr>
  </w:style>
  <w:style w:type="character" w:customStyle="1" w:styleId="35">
    <w:name w:val="Intense Reference"/>
    <w:qFormat/>
    <w:uiPriority w:val="24"/>
    <w:rPr>
      <w:b/>
      <w:smallCaps/>
      <w:color w:val="5B9BD5"/>
      <w:w w:val="100"/>
      <w:sz w:val="21"/>
      <w:szCs w:val="21"/>
      <w:shd w:val="clear"/>
    </w:rPr>
  </w:style>
  <w:style w:type="character" w:customStyle="1" w:styleId="36">
    <w:name w:val="Book Title"/>
    <w:qFormat/>
    <w:uiPriority w:val="25"/>
    <w:rPr>
      <w:b/>
      <w:i/>
      <w:w w:val="100"/>
      <w:sz w:val="21"/>
      <w:szCs w:val="21"/>
      <w:shd w:val="clear"/>
    </w:rPr>
  </w:style>
  <w:style w:type="paragraph" w:styleId="37">
    <w:name w:val="List Paragraph"/>
    <w:basedOn w:val="1"/>
    <w:qFormat/>
    <w:uiPriority w:val="26"/>
    <w:pPr>
      <w:widowControl/>
      <w:wordWrap/>
      <w:autoSpaceDE/>
      <w:autoSpaceDN/>
      <w:ind w:firstLine="420"/>
    </w:pPr>
  </w:style>
  <w:style w:type="paragraph" w:customStyle="1" w:styleId="38">
    <w:name w:val="TOC Heading"/>
    <w:unhideWhenUsed/>
    <w:qFormat/>
    <w:uiPriority w:val="27"/>
    <w:pPr>
      <w:widowControl/>
      <w:wordWrap/>
      <w:autoSpaceDE/>
      <w:autoSpaceDN/>
    </w:pPr>
    <w:rPr>
      <w:rFonts w:ascii="等线" w:hAnsi="等线" w:eastAsia="等线"/>
      <w:color w:val="2E74B5"/>
      <w:w w:val="100"/>
      <w:sz w:val="32"/>
      <w:szCs w:val="32"/>
      <w:shd w:val="clear"/>
    </w:rPr>
  </w:style>
  <w:style w:type="character" w:customStyle="1" w:styleId="39">
    <w:name w:val="页眉 字符"/>
    <w:basedOn w:val="25"/>
    <w:link w:val="17"/>
    <w:uiPriority w:val="152"/>
    <w:rPr>
      <w:w w:val="100"/>
      <w:sz w:val="18"/>
      <w:szCs w:val="18"/>
      <w:shd w:val="clear"/>
    </w:rPr>
  </w:style>
  <w:style w:type="character" w:customStyle="1" w:styleId="40">
    <w:name w:val="页脚 字符"/>
    <w:basedOn w:val="25"/>
    <w:link w:val="16"/>
    <w:uiPriority w:val="154"/>
    <w:rPr>
      <w:w w:val="100"/>
      <w:sz w:val="18"/>
      <w:szCs w:val="18"/>
      <w:shd w:val="clear"/>
    </w:rPr>
  </w:style>
  <w:style w:type="character" w:customStyle="1" w:styleId="41">
    <w:name w:val="批注框文本 字符"/>
    <w:basedOn w:val="25"/>
    <w:link w:val="15"/>
    <w:semiHidden/>
    <w:uiPriority w:val="156"/>
    <w:rPr>
      <w:w w:val="100"/>
      <w:sz w:val="18"/>
      <w:szCs w:val="18"/>
      <w:shd w:val="cle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331</Words>
  <Characters>0</Characters>
  <Lines>15</Lines>
  <Paragraphs>4</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2018-03-26T11:29:01Z</dcterms:created>
  <dc:creator>赵bq</dc:creator>
  <cp:lastModifiedBy>于新</cp:lastModifiedBy>
  <dcterms:modified xsi:type="dcterms:W3CDTF">2018-03-26T11:32:59Z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