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ascii="方正小标宋简体" w:hAnsi="方正小标宋简体" w:eastAsia="方正小标宋简体"/>
          <w:b w:val="0"/>
          <w:sz w:val="44"/>
          <w:szCs w:val="44"/>
        </w:rPr>
      </w:pPr>
      <w:r>
        <w:rPr>
          <w:rFonts w:ascii="方正小标宋简体" w:hAnsi="方正小标宋简体" w:eastAsia="方正小标宋简体"/>
          <w:b w:val="0"/>
          <w:sz w:val="44"/>
          <w:szCs w:val="44"/>
        </w:rPr>
        <w:t>“谋深干实”专职团干部培训方案</w:t>
      </w:r>
    </w:p>
    <w:p>
      <w:pPr>
        <w:pStyle w:val="3"/>
        <w:spacing w:line="560" w:lineRule="exact"/>
        <w:rPr>
          <w:rFonts w:ascii="Calibri" w:hAnsi="宋体" w:eastAsia="宋体"/>
          <w:sz w:val="21"/>
          <w:szCs w:val="21"/>
        </w:rPr>
      </w:pPr>
    </w:p>
    <w:p>
      <w:pPr>
        <w:pStyle w:val="3"/>
        <w:spacing w:line="560" w:lineRule="exact"/>
        <w:ind w:firstLine="640"/>
        <w:rPr>
          <w:rFonts w:ascii="仿宋_GB2312" w:hAnsi="仿宋_GB2312" w:eastAsia="仿宋_GB2312"/>
          <w:b w:val="0"/>
        </w:rPr>
      </w:pPr>
      <w:bookmarkStart w:id="0" w:name="_GoBack"/>
      <w:r>
        <w:rPr>
          <w:rFonts w:ascii="仿宋_GB2312" w:hAnsi="仿宋_GB2312" w:eastAsia="仿宋_GB2312"/>
          <w:b w:val="0"/>
        </w:rPr>
        <w:t>为深入学习贯彻习近平新时代中国特色社会主义思想和党的十九大精神，积极主动落实学校2018年专题研讨班会议部署，着力破解我校专职团干部中存在的使命感、责任感、危意意识、执行能力不强的问题，不断提升专职团干部的理论水平、工作能力、责任担当和务实作风，组织专职团干部积极投身打赢学校“双一流”建设的攻坚战，根据“按需培训、学以致用”的原则，在征求意见的基础上制定“谋深干实”专职团干部培训方案。</w:t>
      </w:r>
    </w:p>
    <w:bookmarkEnd w:id="0"/>
    <w:p>
      <w:pPr>
        <w:pStyle w:val="3"/>
        <w:spacing w:line="560" w:lineRule="exact"/>
        <w:ind w:firstLine="640"/>
        <w:rPr>
          <w:b w:val="0"/>
        </w:rPr>
      </w:pPr>
      <w:r>
        <w:rPr>
          <w:b w:val="0"/>
        </w:rPr>
        <w:t>一、培训对象</w:t>
      </w:r>
    </w:p>
    <w:p>
      <w:pPr>
        <w:pStyle w:val="3"/>
        <w:spacing w:line="560" w:lineRule="exact"/>
        <w:ind w:firstLine="640"/>
        <w:rPr>
          <w:rFonts w:ascii="仿宋_GB2312" w:hAnsi="仿宋_GB2312" w:eastAsia="仿宋_GB2312"/>
          <w:b w:val="0"/>
        </w:rPr>
      </w:pPr>
      <w:r>
        <w:rPr>
          <w:rFonts w:ascii="仿宋_GB2312" w:hAnsi="仿宋_GB2312" w:eastAsia="仿宋_GB2312"/>
          <w:b w:val="0"/>
        </w:rPr>
        <w:t>全体专职团干部。</w:t>
      </w:r>
    </w:p>
    <w:p>
      <w:pPr>
        <w:pStyle w:val="3"/>
        <w:spacing w:line="560" w:lineRule="exact"/>
        <w:ind w:firstLine="640"/>
        <w:rPr>
          <w:b w:val="0"/>
        </w:rPr>
      </w:pPr>
      <w:r>
        <w:rPr>
          <w:b w:val="0"/>
        </w:rPr>
        <w:t>二、培训时间</w:t>
      </w:r>
    </w:p>
    <w:p>
      <w:pPr>
        <w:pStyle w:val="3"/>
        <w:spacing w:line="560" w:lineRule="exact"/>
        <w:ind w:firstLine="640"/>
        <w:rPr>
          <w:rFonts w:ascii="仿宋_GB2312" w:hAnsi="仿宋_GB2312" w:eastAsia="仿宋_GB2312"/>
          <w:b w:val="0"/>
        </w:rPr>
      </w:pPr>
      <w:r>
        <w:rPr>
          <w:rFonts w:ascii="仿宋_GB2312" w:hAnsi="仿宋_GB2312" w:eastAsia="仿宋_GB2312"/>
          <w:b w:val="0"/>
        </w:rPr>
        <w:t>2018年4月-12月</w:t>
      </w:r>
    </w:p>
    <w:p>
      <w:pPr>
        <w:pStyle w:val="3"/>
        <w:spacing w:line="560" w:lineRule="exact"/>
        <w:ind w:firstLine="640"/>
        <w:rPr>
          <w:b w:val="0"/>
        </w:rPr>
      </w:pPr>
      <w:r>
        <w:rPr>
          <w:b w:val="0"/>
        </w:rPr>
        <w:t>三、培训内容、目的</w:t>
      </w:r>
    </w:p>
    <w:p>
      <w:pPr>
        <w:pStyle w:val="3"/>
        <w:spacing w:line="560" w:lineRule="exact"/>
        <w:ind w:firstLine="643"/>
        <w:rPr>
          <w:rFonts w:ascii="楷体_GB2312" w:hAnsi="楷体_GB2312" w:eastAsia="楷体_GB2312"/>
          <w:b w:val="0"/>
        </w:rPr>
      </w:pPr>
      <w:r>
        <w:rPr>
          <w:rFonts w:ascii="楷体_GB2312" w:hAnsi="楷体_GB2312" w:eastAsia="楷体_GB2312"/>
          <w:b w:val="0"/>
        </w:rPr>
        <w:t>（一）政治理论学习</w:t>
      </w:r>
    </w:p>
    <w:p>
      <w:pPr>
        <w:pStyle w:val="3"/>
        <w:spacing w:line="560" w:lineRule="exact"/>
        <w:ind w:firstLine="640"/>
        <w:rPr>
          <w:rFonts w:ascii="仿宋_GB2312" w:hAnsi="仿宋_GB2312" w:eastAsia="仿宋_GB2312"/>
          <w:b w:val="0"/>
        </w:rPr>
      </w:pPr>
      <w:r>
        <w:rPr>
          <w:rFonts w:ascii="仿宋_GB2312" w:hAnsi="仿宋_GB2312" w:eastAsia="仿宋_GB2312"/>
          <w:b w:val="0"/>
        </w:rPr>
        <w:t>邀请相关专家围绕以下内容开展总计不少于20学时的辅导报告，促使团干部掌握新思想，明确新发展，不断增强“四个意识”。</w:t>
      </w:r>
    </w:p>
    <w:p>
      <w:pPr>
        <w:pStyle w:val="3"/>
        <w:spacing w:line="560" w:lineRule="exact"/>
        <w:ind w:firstLine="640"/>
        <w:rPr>
          <w:rFonts w:ascii="仿宋_GB2312" w:hAnsi="仿宋_GB2312" w:eastAsia="仿宋_GB2312"/>
          <w:b w:val="0"/>
        </w:rPr>
      </w:pPr>
      <w:r>
        <w:rPr>
          <w:rFonts w:ascii="仿宋_GB2312" w:hAnsi="仿宋_GB2312" w:eastAsia="仿宋_GB2312"/>
          <w:b w:val="0"/>
        </w:rPr>
        <w:t>1.习近平新时代中国特色社会主义思想的核心要义和丰富内涵</w:t>
      </w:r>
    </w:p>
    <w:p>
      <w:pPr>
        <w:pStyle w:val="3"/>
        <w:spacing w:line="560" w:lineRule="exact"/>
        <w:ind w:firstLine="640"/>
        <w:rPr>
          <w:rFonts w:ascii="仿宋_GB2312" w:hAnsi="仿宋_GB2312" w:eastAsia="仿宋_GB2312"/>
          <w:b w:val="0"/>
        </w:rPr>
      </w:pPr>
      <w:r>
        <w:rPr>
          <w:rFonts w:ascii="仿宋_GB2312" w:hAnsi="仿宋_GB2312" w:eastAsia="仿宋_GB2312"/>
          <w:b w:val="0"/>
        </w:rPr>
        <w:t>2.《习近平关于青少年和共青团工作论述摘编》辅导</w:t>
      </w:r>
    </w:p>
    <w:p>
      <w:pPr>
        <w:pStyle w:val="3"/>
        <w:spacing w:line="560" w:lineRule="exact"/>
        <w:ind w:firstLine="640"/>
        <w:rPr>
          <w:rFonts w:ascii="仿宋_GB2312" w:hAnsi="仿宋_GB2312" w:eastAsia="仿宋_GB2312"/>
          <w:b w:val="0"/>
        </w:rPr>
      </w:pPr>
      <w:r>
        <w:rPr>
          <w:rFonts w:ascii="仿宋_GB2312" w:hAnsi="仿宋_GB2312" w:eastAsia="仿宋_GB2312"/>
          <w:b w:val="0"/>
        </w:rPr>
        <w:t>3.十九大精神和2018年全国“两会”精神辅导</w:t>
      </w:r>
    </w:p>
    <w:p>
      <w:pPr>
        <w:pStyle w:val="3"/>
        <w:spacing w:line="560" w:lineRule="exact"/>
        <w:ind w:firstLine="640"/>
        <w:rPr>
          <w:rFonts w:ascii="仿宋_GB2312" w:hAnsi="仿宋_GB2312" w:eastAsia="仿宋_GB2312"/>
          <w:b w:val="0"/>
        </w:rPr>
      </w:pPr>
      <w:r>
        <w:rPr>
          <w:rFonts w:ascii="仿宋_GB2312" w:hAnsi="仿宋_GB2312" w:eastAsia="仿宋_GB2312"/>
          <w:b w:val="0"/>
        </w:rPr>
        <w:t>4.改革开放四十年的历史巨变</w:t>
      </w:r>
    </w:p>
    <w:p>
      <w:pPr>
        <w:pStyle w:val="3"/>
        <w:spacing w:line="560" w:lineRule="exact"/>
        <w:ind w:firstLine="640"/>
        <w:rPr>
          <w:rFonts w:ascii="仿宋_GB2312" w:hAnsi="仿宋_GB2312" w:eastAsia="仿宋_GB2312"/>
          <w:b w:val="0"/>
        </w:rPr>
      </w:pPr>
      <w:r>
        <w:rPr>
          <w:rFonts w:ascii="仿宋_GB2312" w:hAnsi="仿宋_GB2312" w:eastAsia="仿宋_GB2312"/>
          <w:b w:val="0"/>
        </w:rPr>
        <w:t>5.新时代思想政治教育的新使命、新要求和新方法</w:t>
      </w:r>
    </w:p>
    <w:p>
      <w:pPr>
        <w:pStyle w:val="3"/>
        <w:spacing w:line="560" w:lineRule="exact"/>
        <w:ind w:firstLine="640"/>
        <w:rPr>
          <w:rFonts w:ascii="仿宋_GB2312" w:hAnsi="仿宋_GB2312" w:eastAsia="仿宋_GB2312"/>
          <w:b w:val="0"/>
        </w:rPr>
      </w:pPr>
      <w:r>
        <w:rPr>
          <w:rFonts w:ascii="仿宋_GB2312" w:hAnsi="仿宋_GB2312" w:eastAsia="仿宋_GB2312"/>
          <w:b w:val="0"/>
        </w:rPr>
        <w:t>6.高校共青团改革的突破方向和实现路径</w:t>
      </w:r>
    </w:p>
    <w:p>
      <w:pPr>
        <w:pStyle w:val="3"/>
        <w:spacing w:line="560" w:lineRule="exact"/>
        <w:ind w:firstLine="640"/>
        <w:rPr>
          <w:rFonts w:ascii="仿宋_GB2312" w:hAnsi="仿宋_GB2312" w:eastAsia="仿宋_GB2312"/>
          <w:b w:val="0"/>
        </w:rPr>
      </w:pPr>
      <w:r>
        <w:rPr>
          <w:rFonts w:ascii="仿宋_GB2312" w:hAnsi="仿宋_GB2312" w:eastAsia="仿宋_GB2312"/>
          <w:b w:val="0"/>
        </w:rPr>
        <w:t xml:space="preserve">7.兰州大学“双一流”建设方案 </w:t>
      </w:r>
    </w:p>
    <w:p>
      <w:pPr>
        <w:pStyle w:val="3"/>
        <w:spacing w:line="560" w:lineRule="exact"/>
        <w:ind w:firstLine="643"/>
        <w:rPr>
          <w:rFonts w:ascii="楷体_GB2312" w:hAnsi="楷体_GB2312" w:eastAsia="楷体_GB2312"/>
          <w:b w:val="0"/>
        </w:rPr>
      </w:pPr>
      <w:r>
        <w:rPr>
          <w:rFonts w:ascii="楷体_GB2312" w:hAnsi="楷体_GB2312" w:eastAsia="楷体_GB2312"/>
          <w:b w:val="0"/>
        </w:rPr>
        <w:t>（二）业务技能培训</w:t>
      </w:r>
    </w:p>
    <w:p>
      <w:pPr>
        <w:pStyle w:val="3"/>
        <w:spacing w:line="560" w:lineRule="exact"/>
        <w:ind w:firstLine="640"/>
        <w:rPr>
          <w:rFonts w:ascii="仿宋_GB2312" w:hAnsi="仿宋_GB2312" w:eastAsia="仿宋_GB2312"/>
          <w:b w:val="0"/>
        </w:rPr>
      </w:pPr>
      <w:r>
        <w:rPr>
          <w:rFonts w:ascii="仿宋_GB2312" w:hAnsi="仿宋_GB2312" w:eastAsia="仿宋_GB2312"/>
          <w:b w:val="0"/>
        </w:rPr>
        <w:t>邀请相关专家及团干部就以下内容开展不少于20学时的培训，促使团干部进一步明确工作职责，掌握工作方法，更好围绕、关照、服务学生。</w:t>
      </w:r>
    </w:p>
    <w:p>
      <w:pPr>
        <w:pStyle w:val="3"/>
        <w:spacing w:line="560" w:lineRule="exact"/>
        <w:ind w:firstLine="640"/>
        <w:rPr>
          <w:rFonts w:ascii="仿宋_GB2312" w:hAnsi="仿宋_GB2312" w:eastAsia="仿宋_GB2312"/>
          <w:b w:val="0"/>
        </w:rPr>
      </w:pPr>
      <w:r>
        <w:rPr>
          <w:rFonts w:ascii="仿宋_GB2312" w:hAnsi="仿宋_GB2312" w:eastAsia="仿宋_GB2312"/>
          <w:b w:val="0"/>
        </w:rPr>
        <w:t>1.基础团务及工作方法</w:t>
      </w:r>
    </w:p>
    <w:p>
      <w:pPr>
        <w:pStyle w:val="3"/>
        <w:spacing w:line="560" w:lineRule="exact"/>
        <w:ind w:firstLine="640"/>
        <w:rPr>
          <w:rFonts w:ascii="仿宋_GB2312" w:hAnsi="仿宋_GB2312" w:eastAsia="仿宋_GB2312"/>
          <w:b w:val="0"/>
        </w:rPr>
      </w:pPr>
      <w:r>
        <w:rPr>
          <w:rFonts w:ascii="仿宋_GB2312" w:hAnsi="仿宋_GB2312" w:eastAsia="仿宋_GB2312"/>
          <w:b w:val="0"/>
        </w:rPr>
        <w:t>2.深入推进改革共青团</w:t>
      </w:r>
    </w:p>
    <w:p>
      <w:pPr>
        <w:pStyle w:val="3"/>
        <w:spacing w:line="560" w:lineRule="exact"/>
        <w:ind w:firstLine="640"/>
        <w:rPr>
          <w:rFonts w:ascii="仿宋_GB2312" w:hAnsi="仿宋_GB2312" w:eastAsia="仿宋_GB2312"/>
          <w:b w:val="0"/>
        </w:rPr>
      </w:pPr>
      <w:r>
        <w:rPr>
          <w:rFonts w:ascii="仿宋_GB2312" w:hAnsi="仿宋_GB2312" w:eastAsia="仿宋_GB2312"/>
          <w:b w:val="0"/>
        </w:rPr>
        <w:t>3.网络思想政治教育的方法</w:t>
      </w:r>
    </w:p>
    <w:p>
      <w:pPr>
        <w:pStyle w:val="3"/>
        <w:spacing w:line="560" w:lineRule="exact"/>
        <w:ind w:firstLine="640"/>
        <w:rPr>
          <w:rFonts w:ascii="仿宋_GB2312" w:hAnsi="仿宋_GB2312" w:eastAsia="仿宋_GB2312"/>
          <w:b w:val="0"/>
        </w:rPr>
      </w:pPr>
      <w:r>
        <w:rPr>
          <w:rFonts w:ascii="仿宋_GB2312" w:hAnsi="仿宋_GB2312" w:eastAsia="仿宋_GB2312"/>
          <w:b w:val="0"/>
        </w:rPr>
        <w:t>4.“第二课堂成绩单”制度的实施与反思</w:t>
      </w:r>
    </w:p>
    <w:p>
      <w:pPr>
        <w:pStyle w:val="3"/>
        <w:spacing w:line="560" w:lineRule="exact"/>
        <w:ind w:firstLine="640"/>
        <w:rPr>
          <w:rFonts w:ascii="仿宋_GB2312" w:hAnsi="仿宋_GB2312" w:eastAsia="仿宋_GB2312"/>
          <w:b w:val="0"/>
        </w:rPr>
      </w:pPr>
      <w:r>
        <w:rPr>
          <w:rFonts w:ascii="仿宋_GB2312" w:hAnsi="仿宋_GB2312" w:eastAsia="仿宋_GB2312"/>
          <w:b w:val="0"/>
        </w:rPr>
        <w:t>5.研究生共青团工作的特点与措施</w:t>
      </w:r>
    </w:p>
    <w:p>
      <w:pPr>
        <w:pStyle w:val="3"/>
        <w:spacing w:line="560" w:lineRule="exact"/>
        <w:ind w:firstLine="640"/>
        <w:rPr>
          <w:rFonts w:ascii="仿宋_GB2312" w:hAnsi="仿宋_GB2312" w:eastAsia="仿宋_GB2312"/>
          <w:b w:val="0"/>
        </w:rPr>
      </w:pPr>
      <w:r>
        <w:rPr>
          <w:rFonts w:ascii="仿宋_GB2312" w:hAnsi="仿宋_GB2312" w:eastAsia="仿宋_GB2312"/>
          <w:b w:val="0"/>
        </w:rPr>
        <w:t>6.公文写作方法与技巧</w:t>
      </w:r>
    </w:p>
    <w:p>
      <w:pPr>
        <w:pStyle w:val="3"/>
        <w:spacing w:line="560" w:lineRule="exact"/>
        <w:rPr>
          <w:rFonts w:ascii="楷体_GB2312" w:hAnsi="楷体_GB2312" w:eastAsia="楷体_GB2312"/>
          <w:b w:val="0"/>
        </w:rPr>
      </w:pPr>
      <w:r>
        <w:rPr>
          <w:rFonts w:ascii="仿宋" w:hAnsi="仿宋" w:eastAsia="仿宋"/>
        </w:rPr>
        <w:t xml:space="preserve">    </w:t>
      </w:r>
      <w:r>
        <w:rPr>
          <w:rFonts w:ascii="楷体_GB2312" w:hAnsi="楷体_GB2312" w:eastAsia="楷体_GB2312"/>
          <w:b w:val="0"/>
        </w:rPr>
        <w:t>（三）主题研讨交流</w:t>
      </w:r>
    </w:p>
    <w:p>
      <w:pPr>
        <w:pStyle w:val="3"/>
        <w:spacing w:line="560" w:lineRule="exact"/>
        <w:ind w:firstLine="640"/>
        <w:rPr>
          <w:rFonts w:ascii="仿宋_GB2312" w:hAnsi="仿宋_GB2312" w:eastAsia="仿宋_GB2312"/>
          <w:b w:val="0"/>
        </w:rPr>
      </w:pPr>
      <w:r>
        <w:rPr>
          <w:rFonts w:ascii="仿宋_GB2312" w:hAnsi="仿宋_GB2312" w:eastAsia="仿宋_GB2312"/>
          <w:b w:val="0"/>
        </w:rPr>
        <w:t>围绕以下专题，开展3次研讨交流，促使团干部统一思想，明确定位，增强担当。在“青春兰大”等新媒体平台刊发交流共识或成果。</w:t>
      </w:r>
    </w:p>
    <w:p>
      <w:pPr>
        <w:pStyle w:val="3"/>
        <w:spacing w:line="560" w:lineRule="exact"/>
        <w:ind w:firstLine="640"/>
        <w:rPr>
          <w:rFonts w:ascii="仿宋_GB2312" w:hAnsi="仿宋_GB2312" w:eastAsia="仿宋_GB2312"/>
          <w:b w:val="0"/>
        </w:rPr>
      </w:pPr>
      <w:r>
        <w:rPr>
          <w:rFonts w:ascii="仿宋_GB2312" w:hAnsi="仿宋_GB2312" w:eastAsia="仿宋_GB2312"/>
          <w:b w:val="0"/>
        </w:rPr>
        <w:t>1.解放思想，深化共青团改革</w:t>
      </w:r>
    </w:p>
    <w:p>
      <w:pPr>
        <w:pStyle w:val="3"/>
        <w:spacing w:line="560" w:lineRule="exact"/>
        <w:ind w:firstLine="640"/>
        <w:rPr>
          <w:rFonts w:ascii="仿宋_GB2312" w:hAnsi="仿宋_GB2312" w:eastAsia="仿宋_GB2312"/>
          <w:b w:val="0"/>
        </w:rPr>
      </w:pPr>
      <w:r>
        <w:rPr>
          <w:rFonts w:ascii="仿宋_GB2312" w:hAnsi="仿宋_GB2312" w:eastAsia="仿宋_GB2312"/>
          <w:b w:val="0"/>
        </w:rPr>
        <w:t>2.强化作风，团干部健康成长</w:t>
      </w:r>
    </w:p>
    <w:p>
      <w:pPr>
        <w:pStyle w:val="3"/>
        <w:spacing w:line="560" w:lineRule="exact"/>
        <w:ind w:firstLine="640"/>
        <w:rPr>
          <w:rFonts w:ascii="仿宋_GB2312" w:hAnsi="仿宋_GB2312" w:eastAsia="仿宋_GB2312"/>
          <w:b w:val="0"/>
        </w:rPr>
      </w:pPr>
      <w:r>
        <w:rPr>
          <w:rFonts w:ascii="仿宋_GB2312" w:hAnsi="仿宋_GB2312" w:eastAsia="仿宋_GB2312"/>
          <w:b w:val="0"/>
        </w:rPr>
        <w:t>3.聚焦中心，服务学校“双一流”建设</w:t>
      </w:r>
    </w:p>
    <w:p>
      <w:pPr>
        <w:pStyle w:val="3"/>
        <w:spacing w:line="560" w:lineRule="exact"/>
        <w:rPr>
          <w:rFonts w:ascii="仿宋_GB2312" w:hAnsi="仿宋_GB2312" w:eastAsia="仿宋_GB2312"/>
        </w:rPr>
      </w:pPr>
      <w:r>
        <w:rPr>
          <w:rFonts w:ascii="仿宋" w:hAnsi="仿宋" w:eastAsia="仿宋"/>
        </w:rPr>
        <w:t xml:space="preserve">   </w:t>
      </w:r>
      <w:r>
        <w:rPr>
          <w:rFonts w:ascii="楷体_GB2312" w:hAnsi="楷体_GB2312" w:eastAsia="楷体_GB2312"/>
          <w:b w:val="0"/>
        </w:rPr>
        <w:t xml:space="preserve"> （四）联系服务学生</w:t>
      </w:r>
    </w:p>
    <w:p>
      <w:pPr>
        <w:spacing w:line="540" w:lineRule="exact"/>
        <w:ind w:firstLine="640"/>
        <w:rPr>
          <w:rFonts w:ascii="仿宋_GB2312" w:hAnsi="仿宋_GB2312" w:eastAsia="仿宋_GB2312"/>
          <w:sz w:val="32"/>
          <w:szCs w:val="32"/>
        </w:rPr>
      </w:pPr>
      <w:r>
        <w:rPr>
          <w:rFonts w:ascii="仿宋_GB2312" w:hAnsi="仿宋_GB2312" w:eastAsia="仿宋_GB2312"/>
          <w:sz w:val="32"/>
          <w:szCs w:val="32"/>
        </w:rPr>
        <w:t>按照《兰州大学团干部直接联系服务学生“三进”制度》，每名团干部每月至少深入学生的学习场所1次，走进学生的生活环境1次，走进团支部讲团课1次，收集整理学生的意见建议清单1份，为联系学生办实事1件，助力学生成长成才，切实实现围绕、关照、服务、引领学生的目的。</w:t>
      </w:r>
    </w:p>
    <w:p>
      <w:pPr>
        <w:pStyle w:val="3"/>
        <w:spacing w:line="560" w:lineRule="exact"/>
        <w:ind w:firstLine="640"/>
        <w:rPr>
          <w:rFonts w:ascii="楷体_GB2312" w:hAnsi="楷体_GB2312" w:eastAsia="楷体_GB2312"/>
          <w:b w:val="0"/>
        </w:rPr>
      </w:pPr>
      <w:r>
        <w:rPr>
          <w:rFonts w:ascii="楷体_GB2312" w:hAnsi="楷体_GB2312" w:eastAsia="楷体_GB2312"/>
          <w:b w:val="0"/>
        </w:rPr>
        <w:t>（五）专题调查研究</w:t>
      </w:r>
    </w:p>
    <w:p>
      <w:pPr>
        <w:pStyle w:val="3"/>
        <w:spacing w:line="560" w:lineRule="exact"/>
        <w:ind w:firstLine="640"/>
        <w:rPr>
          <w:rFonts w:ascii="仿宋_GB2312" w:hAnsi="仿宋_GB2312" w:eastAsia="仿宋_GB2312"/>
          <w:b w:val="0"/>
        </w:rPr>
      </w:pPr>
      <w:r>
        <w:rPr>
          <w:rFonts w:ascii="仿宋_GB2312" w:hAnsi="仿宋_GB2312" w:eastAsia="仿宋_GB2312"/>
          <w:b w:val="0"/>
        </w:rPr>
        <w:t>围绕学生发展需求、“第二课堂”育人作用发挥、校园文化活动质量提升、学生创新实践难题破解、思想引领新方法等方面，组织团干部有针对性地开展专题调查研究，每人撰写1篇调研报告，提升团干部围绕立德树人的目标发现问题、解决问题、落实工作的能力。调研报告汇编成册供交流学习，并评选10篇优秀调研文章，颁发共青团工作“调研奖”。</w:t>
      </w:r>
    </w:p>
    <w:p>
      <w:pPr>
        <w:pStyle w:val="3"/>
        <w:spacing w:line="560" w:lineRule="exact"/>
        <w:rPr>
          <w:rFonts w:ascii="楷体_GB2312" w:hAnsi="楷体_GB2312" w:eastAsia="楷体_GB2312"/>
          <w:b w:val="0"/>
        </w:rPr>
      </w:pPr>
      <w:r>
        <w:rPr>
          <w:rFonts w:ascii="仿宋" w:hAnsi="仿宋" w:eastAsia="仿宋"/>
        </w:rPr>
        <w:t xml:space="preserve">    </w:t>
      </w:r>
      <w:r>
        <w:rPr>
          <w:rFonts w:ascii="楷体_GB2312" w:hAnsi="楷体_GB2312" w:eastAsia="楷体_GB2312"/>
          <w:b w:val="0"/>
        </w:rPr>
        <w:t>（六）外出交流学习</w:t>
      </w:r>
    </w:p>
    <w:p>
      <w:pPr>
        <w:pStyle w:val="3"/>
        <w:spacing w:line="560" w:lineRule="exact"/>
        <w:rPr>
          <w:rFonts w:ascii="仿宋_GB2312" w:hAnsi="仿宋_GB2312" w:eastAsia="仿宋_GB2312"/>
          <w:b w:val="0"/>
        </w:rPr>
      </w:pPr>
      <w:r>
        <w:rPr>
          <w:rFonts w:ascii="仿宋" w:hAnsi="仿宋" w:eastAsia="仿宋"/>
        </w:rPr>
        <w:t xml:space="preserve">   </w:t>
      </w:r>
      <w:r>
        <w:rPr>
          <w:rFonts w:ascii="仿宋_GB2312" w:hAnsi="仿宋_GB2312" w:eastAsia="仿宋_GB2312"/>
          <w:b w:val="0"/>
        </w:rPr>
        <w:t xml:space="preserve"> 一是组织团干部主动对接团中央、团省委学校部、宣传部、志愿者指导中心等部门，掌握最新工作要求，积极主动落实。二是</w:t>
      </w:r>
      <w:r>
        <w:rPr>
          <w:rFonts w:hint="eastAsia" w:ascii="仿宋_GB2312" w:hAnsi="仿宋_GB2312" w:eastAsia="仿宋_GB2312"/>
          <w:b w:val="0"/>
        </w:rPr>
        <w:t>选派</w:t>
      </w:r>
      <w:r>
        <w:rPr>
          <w:rFonts w:ascii="仿宋_GB2312" w:hAnsi="仿宋_GB2312" w:eastAsia="仿宋_GB2312"/>
          <w:b w:val="0"/>
        </w:rPr>
        <w:t>团干部到上级部门借调、挂职锻炼。三是分批组织团干部到兄弟高校学习先进的工作经验和做法，推动工作上台阶上水平。</w:t>
      </w:r>
    </w:p>
    <w:p>
      <w:pPr>
        <w:pStyle w:val="3"/>
        <w:spacing w:line="560" w:lineRule="exact"/>
        <w:rPr>
          <w:b w:val="0"/>
        </w:rPr>
      </w:pPr>
      <w:r>
        <w:rPr>
          <w:rFonts w:ascii="仿宋" w:hAnsi="仿宋" w:eastAsia="仿宋"/>
        </w:rPr>
        <w:t xml:space="preserve">  </w:t>
      </w:r>
      <w:r>
        <w:rPr>
          <w:b w:val="0"/>
        </w:rPr>
        <w:t xml:space="preserve">  四、考核与结业</w:t>
      </w:r>
    </w:p>
    <w:p>
      <w:pPr>
        <w:pStyle w:val="3"/>
        <w:spacing w:line="560" w:lineRule="exact"/>
        <w:ind w:firstLine="640"/>
        <w:rPr>
          <w:rFonts w:ascii="仿宋_GB2312" w:hAnsi="仿宋_GB2312" w:eastAsia="仿宋_GB2312"/>
          <w:b w:val="0"/>
        </w:rPr>
      </w:pPr>
      <w:r>
        <w:rPr>
          <w:rFonts w:ascii="仿宋_GB2312" w:hAnsi="仿宋_GB2312" w:eastAsia="仿宋_GB2312"/>
          <w:b w:val="0"/>
        </w:rPr>
        <w:t>采取过程管理考核的方式，主要依据是出勤、工作完成和综合表现情况。考核合格颁发结业证书，并评选10名“优秀学员”。外出借调的团干部不纳入此次培训。培训考核情况将纳入团干部个人年终考核。</w:t>
      </w:r>
    </w:p>
    <w:p>
      <w:pPr>
        <w:rPr>
          <w:rFonts w:eastAsiaTheme="minorEastAsia"/>
        </w:rPr>
      </w:pPr>
    </w:p>
    <w:p>
      <w:pPr>
        <w:rPr>
          <w:rFonts w:eastAsiaTheme="minorEastAsia"/>
        </w:rPr>
      </w:pPr>
    </w:p>
    <w:p>
      <w:pPr>
        <w:wordWrap w:val="0"/>
        <w:rPr>
          <w:rFonts w:hAnsi="宋体" w:eastAsia="宋体"/>
        </w:rPr>
      </w:pPr>
    </w:p>
    <w:p>
      <w:pPr>
        <w:pStyle w:val="3"/>
        <w:shd w:val="clear" w:color="000000" w:fill="FFFFFF"/>
        <w:spacing w:line="560" w:lineRule="exact"/>
        <w:ind w:firstLine="640"/>
        <w:jc w:val="left"/>
        <w:rPr>
          <w:rFonts w:ascii="仿宋_GB2312" w:hAnsi="仿宋_GB2312" w:eastAsia="仿宋_GB2312"/>
          <w:b w:val="0"/>
        </w:rPr>
      </w:pPr>
      <w:r>
        <w:rPr>
          <w:rFonts w:ascii="仿宋_GB2312" w:hAnsi="仿宋_GB2312" w:eastAsia="仿宋_GB2312"/>
        </w:rPr>
        <w:t xml:space="preserve">                       </w:t>
      </w:r>
      <w:r>
        <w:rPr>
          <w:rFonts w:ascii="仿宋_GB2312" w:hAnsi="仿宋_GB2312" w:eastAsia="仿宋_GB2312"/>
          <w:b w:val="0"/>
        </w:rPr>
        <w:t xml:space="preserve"> 共青团兰州大学委员会</w:t>
      </w:r>
    </w:p>
    <w:p>
      <w:pPr>
        <w:pStyle w:val="3"/>
        <w:shd w:val="clear" w:color="000000" w:fill="FFFFFF"/>
        <w:spacing w:line="560" w:lineRule="exact"/>
        <w:ind w:firstLine="640"/>
        <w:jc w:val="left"/>
        <w:rPr>
          <w:rFonts w:ascii="仿宋_GB2312" w:hAnsi="仿宋_GB2312" w:eastAsia="仿宋_GB2312"/>
          <w:b w:val="0"/>
        </w:rPr>
      </w:pPr>
      <w:r>
        <w:rPr>
          <w:rFonts w:ascii="仿宋_GB2312" w:hAnsi="仿宋_GB2312" w:eastAsia="仿宋_GB2312"/>
          <w:b w:val="0"/>
        </w:rPr>
        <w:t xml:space="preserve">                          2018年3月29日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F38F5D72-C32F-4B9B-8C92-09F778EACA04}"/>
  </w:font>
  <w:font w:name="方正小标宋简体">
    <w:panose1 w:val="02000000000000000000"/>
    <w:charset w:val="86"/>
    <w:family w:val="auto"/>
    <w:pitch w:val="default"/>
    <w:sig w:usb0="00000001" w:usb1="08000000" w:usb2="00000000" w:usb3="00000000" w:csb0="00040000" w:csb1="00000000"/>
    <w:embedRegular r:id="rId2" w:fontKey="{1708D429-0F30-4737-B215-3141FF6240C7}"/>
  </w:font>
  <w:font w:name="仿宋_GB2312">
    <w:altName w:val="仿宋"/>
    <w:panose1 w:val="00000000000000000000"/>
    <w:charset w:val="00"/>
    <w:family w:val="auto"/>
    <w:pitch w:val="default"/>
    <w:sig w:usb0="00000000" w:usb1="00000000" w:usb2="00000000" w:usb3="00000000" w:csb0="FFFFFFFF" w:csb1="00000000"/>
  </w:font>
  <w:font w:name="楷体_GB2312">
    <w:altName w:val="楷体"/>
    <w:panose1 w:val="00000000000000000000"/>
    <w:charset w:val="00"/>
    <w:family w:val="auto"/>
    <w:pitch w:val="default"/>
    <w:sig w:usb0="00000000" w:usb1="00000000" w:usb2="00000000" w:usb3="00000000" w:csb0="FFFFFFFF" w:csb1="00000000"/>
  </w:font>
  <w:font w:name="仿宋">
    <w:panose1 w:val="02010609060101010101"/>
    <w:charset w:val="86"/>
    <w:family w:val="modern"/>
    <w:pitch w:val="default"/>
    <w:sig w:usb0="800002BF" w:usb1="38CF7CFA" w:usb2="00000016" w:usb3="00000000" w:csb0="00040001" w:csb1="00000000"/>
    <w:embedRegular r:id="rId3" w:fontKey="{FA0B2753-29F9-443A-9546-6E8DECEFC3B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hAnsi="宋体" w:eastAsia="宋体"/>
      </w:rPr>
    </w:pPr>
    <w:r>
      <w:fldChar w:fldCharType="begin"/>
    </w:r>
    <w:r>
      <w:instrText xml:space="preserve">PAGE  \* MERGEFORMAT</w:instrText>
    </w:r>
    <w:r>
      <w:fldChar w:fldCharType="separate"/>
    </w:r>
    <w:r>
      <w:rPr>
        <w:rFonts w:hAnsi="宋体" w:eastAsia="宋体"/>
      </w:rPr>
      <w:t>3</w:t>
    </w:r>
    <w:r>
      <w:rPr>
        <w:rFonts w:hAnsi="宋体" w:eastAsia="宋体"/>
      </w:rPr>
      <w:fldChar w:fldCharType="end"/>
    </w:r>
  </w:p>
  <w:p>
    <w:pPr>
      <w:wordWrap w:val="0"/>
      <w:rPr>
        <w:rFonts w:hAnsi="宋体"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27"/>
    <w:rsid w:val="00540BB0"/>
    <w:rsid w:val="007316FB"/>
    <w:rsid w:val="007C7BA9"/>
    <w:rsid w:val="00862241"/>
    <w:rsid w:val="008B3327"/>
    <w:rsid w:val="00DE0929"/>
    <w:rsid w:val="74C520E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basedOn w:val="1"/>
    <w:next w:val="1"/>
    <w:unhideWhenUsed/>
    <w:qFormat/>
    <w:uiPriority w:val="8"/>
    <w:pPr>
      <w:keepNext/>
      <w:keepLines/>
      <w:outlineLvl w:val="1"/>
    </w:pPr>
    <w:rPr>
      <w:rFonts w:ascii="黑体" w:hAnsi="黑体" w:eastAsia="黑体"/>
      <w:b/>
      <w:sz w:val="32"/>
      <w:szCs w:val="32"/>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3">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16">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17">
    <w:name w:val="Subtitle"/>
    <w:qFormat/>
    <w:uiPriority w:val="16"/>
    <w:pPr>
      <w:jc w:val="center"/>
    </w:pPr>
    <w:rPr>
      <w:rFonts w:ascii="Times New Roman" w:hAnsi="Times New Roman" w:eastAsia="宋体" w:cs="Times New Roman"/>
      <w:sz w:val="24"/>
      <w:szCs w:val="24"/>
      <w:lang w:val="en-US" w:eastAsia="zh-CN" w:bidi="ar-SA"/>
    </w:rPr>
  </w:style>
  <w:style w:type="paragraph" w:styleId="18">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19">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0">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1">
    <w:name w:val="Normal (Web)"/>
    <w:basedOn w:val="1"/>
    <w:uiPriority w:val="0"/>
    <w:rPr>
      <w:rFonts w:ascii="宋体" w:hAnsi="宋体" w:eastAsia="Times New Roman"/>
      <w:sz w:val="24"/>
      <w:szCs w:val="24"/>
    </w:rPr>
  </w:style>
  <w:style w:type="paragraph" w:styleId="22">
    <w:name w:val="Title"/>
    <w:qFormat/>
    <w:uiPriority w:val="6"/>
    <w:pPr>
      <w:jc w:val="center"/>
    </w:pPr>
    <w:rPr>
      <w:rFonts w:ascii="Times New Roman" w:hAnsi="Times New Roman" w:eastAsia="宋体" w:cs="Times New Roman"/>
      <w:b/>
      <w:sz w:val="32"/>
      <w:szCs w:val="32"/>
      <w:lang w:val="en-US" w:eastAsia="zh-CN" w:bidi="ar-SA"/>
    </w:rPr>
  </w:style>
  <w:style w:type="character" w:styleId="24">
    <w:name w:val="Strong"/>
    <w:basedOn w:val="23"/>
    <w:qFormat/>
    <w:uiPriority w:val="20"/>
    <w:rPr>
      <w:b/>
      <w:w w:val="100"/>
      <w:sz w:val="20"/>
      <w:szCs w:val="20"/>
      <w:shd w:val="clear" w:color="000000" w:fill="auto"/>
    </w:rPr>
  </w:style>
  <w:style w:type="character" w:styleId="25">
    <w:name w:val="FollowedHyperlink"/>
    <w:basedOn w:val="23"/>
    <w:uiPriority w:val="0"/>
    <w:rPr>
      <w:color w:val="555555"/>
      <w:w w:val="100"/>
      <w:sz w:val="20"/>
      <w:szCs w:val="20"/>
      <w:u w:val="none"/>
      <w:shd w:val="clear" w:color="000000" w:fill="auto"/>
    </w:rPr>
  </w:style>
  <w:style w:type="character" w:styleId="26">
    <w:name w:val="Emphasis"/>
    <w:qFormat/>
    <w:uiPriority w:val="18"/>
    <w:rPr>
      <w:i/>
      <w:w w:val="100"/>
      <w:sz w:val="21"/>
      <w:szCs w:val="21"/>
      <w:shd w:val="clear" w:color="000000" w:fill="auto"/>
    </w:rPr>
  </w:style>
  <w:style w:type="character" w:styleId="27">
    <w:name w:val="Hyperlink"/>
    <w:basedOn w:val="23"/>
    <w:qFormat/>
    <w:uiPriority w:val="0"/>
    <w:rPr>
      <w:color w:val="002B55"/>
      <w:w w:val="100"/>
      <w:sz w:val="20"/>
      <w:szCs w:val="20"/>
      <w:u w:val="none"/>
      <w:shd w:val="clear" w:color="000000" w:fill="auto"/>
    </w:rPr>
  </w:style>
  <w:style w:type="paragraph" w:styleId="29">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0">
    <w:name w:val="Subtle Emphasis"/>
    <w:qFormat/>
    <w:uiPriority w:val="17"/>
    <w:rPr>
      <w:i/>
      <w:color w:val="404040"/>
      <w:w w:val="100"/>
      <w:sz w:val="21"/>
      <w:szCs w:val="21"/>
      <w:shd w:val="clear" w:color="000000" w:fill="auto"/>
    </w:rPr>
  </w:style>
  <w:style w:type="character" w:customStyle="1" w:styleId="31">
    <w:name w:val="Intense Emphasis"/>
    <w:qFormat/>
    <w:uiPriority w:val="19"/>
    <w:rPr>
      <w:i/>
      <w:color w:val="5B9BD5"/>
      <w:w w:val="100"/>
      <w:sz w:val="21"/>
      <w:szCs w:val="21"/>
      <w:shd w:val="clear" w:color="000000" w:fill="auto"/>
    </w:rPr>
  </w:style>
  <w:style w:type="paragraph" w:styleId="32">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4">
    <w:name w:val="Subtle Reference"/>
    <w:qFormat/>
    <w:uiPriority w:val="23"/>
    <w:rPr>
      <w:smallCaps/>
      <w:color w:val="5A5A5A"/>
      <w:w w:val="100"/>
      <w:sz w:val="21"/>
      <w:szCs w:val="21"/>
      <w:shd w:val="clear" w:color="000000" w:fill="auto"/>
    </w:rPr>
  </w:style>
  <w:style w:type="character" w:customStyle="1" w:styleId="35">
    <w:name w:val="Intense Reference"/>
    <w:qFormat/>
    <w:uiPriority w:val="24"/>
    <w:rPr>
      <w:b/>
      <w:smallCaps/>
      <w:color w:val="5B9BD5"/>
      <w:w w:val="100"/>
      <w:sz w:val="21"/>
      <w:szCs w:val="21"/>
      <w:shd w:val="clear" w:color="000000" w:fill="auto"/>
    </w:rPr>
  </w:style>
  <w:style w:type="character" w:customStyle="1" w:styleId="36">
    <w:name w:val="Book Title"/>
    <w:qFormat/>
    <w:uiPriority w:val="25"/>
    <w:rPr>
      <w:b/>
      <w:i/>
      <w:w w:val="100"/>
      <w:sz w:val="21"/>
      <w:szCs w:val="21"/>
      <w:shd w:val="clear" w:color="000000" w:fill="auto"/>
    </w:rPr>
  </w:style>
  <w:style w:type="paragraph" w:styleId="37">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38">
    <w:name w:val="TOC Heading"/>
    <w:unhideWhenUsed/>
    <w:qFormat/>
    <w:uiPriority w:val="27"/>
    <w:rPr>
      <w:rFonts w:ascii="Times New Roman" w:hAnsi="Times New Roman"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206</Words>
  <Characters>1176</Characters>
  <Lines>9</Lines>
  <Paragraphs>2</Paragraphs>
  <TotalTime>0</TotalTime>
  <ScaleCrop>false</ScaleCrop>
  <LinksUpToDate>false</LinksUpToDate>
  <CharactersWithSpaces>1380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2018-04-09T09:18:00Z</dcterms:created>
  <dc:creator>于新</dc:creator>
  <cp:lastModifiedBy>于新</cp:lastModifiedBy>
  <cp:lastPrinted>2018-04-10T05:49:05Z</cp:lastPrinted>
  <dcterms:modified xsi:type="dcterms:W3CDTF">2018-04-10T05:50:12Z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