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“萃英致远”兰州大学专职团干部“学党史、强信念、跟党走”专题培训班</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参训回执</w:t>
      </w:r>
    </w:p>
    <w:p>
      <w:pPr>
        <w:jc w:val="center"/>
        <w:rPr>
          <w:rFonts w:hint="eastAsia" w:ascii="黑体" w:hAnsi="黑体" w:eastAsia="黑体" w:cs="黑体"/>
          <w:sz w:val="36"/>
          <w:szCs w:val="36"/>
          <w:lang w:val="en-US" w:eastAsia="zh-CN"/>
        </w:rPr>
      </w:pPr>
    </w:p>
    <w:tbl>
      <w:tblPr>
        <w:tblStyle w:val="3"/>
        <w:tblpPr w:leftFromText="180" w:rightFromText="180" w:vertAnchor="text" w:horzAnchor="page" w:tblpX="1318" w:tblpY="519"/>
        <w:tblOverlap w:val="never"/>
        <w:tblW w:w="14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329"/>
        <w:gridCol w:w="2906"/>
        <w:gridCol w:w="796"/>
        <w:gridCol w:w="2615"/>
        <w:gridCol w:w="969"/>
        <w:gridCol w:w="931"/>
        <w:gridCol w:w="955"/>
        <w:gridCol w:w="1374"/>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724" w:type="dxa"/>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1329" w:type="dxa"/>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姓名</w:t>
            </w:r>
          </w:p>
        </w:tc>
        <w:tc>
          <w:tcPr>
            <w:tcW w:w="2906" w:type="dxa"/>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职务</w:t>
            </w:r>
          </w:p>
        </w:tc>
        <w:tc>
          <w:tcPr>
            <w:tcW w:w="796" w:type="dxa"/>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民族</w:t>
            </w:r>
          </w:p>
        </w:tc>
        <w:tc>
          <w:tcPr>
            <w:tcW w:w="2615" w:type="dxa"/>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联系方式</w:t>
            </w:r>
          </w:p>
        </w:tc>
        <w:tc>
          <w:tcPr>
            <w:tcW w:w="969" w:type="dxa"/>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15日下午</w:t>
            </w:r>
          </w:p>
        </w:tc>
        <w:tc>
          <w:tcPr>
            <w:tcW w:w="931" w:type="dxa"/>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16日下午</w:t>
            </w:r>
          </w:p>
        </w:tc>
        <w:tc>
          <w:tcPr>
            <w:tcW w:w="955" w:type="dxa"/>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17日</w:t>
            </w:r>
          </w:p>
        </w:tc>
        <w:tc>
          <w:tcPr>
            <w:tcW w:w="1374" w:type="dxa"/>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17日8:00榆中乘车来兰需求</w:t>
            </w:r>
          </w:p>
        </w:tc>
        <w:tc>
          <w:tcPr>
            <w:tcW w:w="1816" w:type="dxa"/>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24" w:type="dxa"/>
          </w:tcPr>
          <w:p>
            <w:pPr>
              <w:rPr>
                <w:rFonts w:hint="default"/>
                <w:sz w:val="24"/>
                <w:szCs w:val="24"/>
                <w:vertAlign w:val="baseline"/>
                <w:lang w:val="en-US" w:eastAsia="zh-CN"/>
              </w:rPr>
            </w:pPr>
            <w:bookmarkStart w:id="0" w:name="_GoBack" w:colFirst="5" w:colLast="9"/>
          </w:p>
        </w:tc>
        <w:tc>
          <w:tcPr>
            <w:tcW w:w="1329" w:type="dxa"/>
          </w:tcPr>
          <w:p>
            <w:pPr>
              <w:rPr>
                <w:rFonts w:hint="default"/>
                <w:sz w:val="24"/>
                <w:szCs w:val="24"/>
                <w:vertAlign w:val="baseline"/>
                <w:lang w:val="en-US" w:eastAsia="zh-CN"/>
              </w:rPr>
            </w:pPr>
          </w:p>
        </w:tc>
        <w:tc>
          <w:tcPr>
            <w:tcW w:w="2906" w:type="dxa"/>
          </w:tcPr>
          <w:p>
            <w:pPr>
              <w:rPr>
                <w:rFonts w:hint="default"/>
                <w:sz w:val="24"/>
                <w:szCs w:val="24"/>
                <w:vertAlign w:val="baseline"/>
                <w:lang w:val="en-US" w:eastAsia="zh-CN"/>
              </w:rPr>
            </w:pPr>
          </w:p>
        </w:tc>
        <w:tc>
          <w:tcPr>
            <w:tcW w:w="796" w:type="dxa"/>
          </w:tcPr>
          <w:p>
            <w:pPr>
              <w:rPr>
                <w:rFonts w:hint="default"/>
                <w:sz w:val="24"/>
                <w:szCs w:val="24"/>
                <w:vertAlign w:val="baseline"/>
                <w:lang w:val="en-US" w:eastAsia="zh-CN"/>
              </w:rPr>
            </w:pPr>
          </w:p>
        </w:tc>
        <w:tc>
          <w:tcPr>
            <w:tcW w:w="2615" w:type="dxa"/>
          </w:tcPr>
          <w:p>
            <w:pPr>
              <w:rPr>
                <w:rFonts w:hint="default"/>
                <w:sz w:val="24"/>
                <w:szCs w:val="24"/>
                <w:vertAlign w:val="baseline"/>
                <w:lang w:val="en-US" w:eastAsia="zh-CN"/>
              </w:rPr>
            </w:pPr>
          </w:p>
        </w:tc>
        <w:tc>
          <w:tcPr>
            <w:tcW w:w="969"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是/否</w:t>
            </w:r>
          </w:p>
        </w:tc>
        <w:tc>
          <w:tcPr>
            <w:tcW w:w="931"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是/否</w:t>
            </w:r>
          </w:p>
        </w:tc>
        <w:tc>
          <w:tcPr>
            <w:tcW w:w="955"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是/否</w:t>
            </w:r>
          </w:p>
        </w:tc>
        <w:tc>
          <w:tcPr>
            <w:tcW w:w="1374"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是/否</w:t>
            </w:r>
          </w:p>
        </w:tc>
        <w:tc>
          <w:tcPr>
            <w:tcW w:w="1816" w:type="dxa"/>
            <w:vAlign w:val="center"/>
          </w:tcPr>
          <w:p>
            <w:pPr>
              <w:jc w:val="center"/>
              <w:rPr>
                <w:rFonts w:hint="default"/>
                <w:sz w:val="24"/>
                <w:szCs w:val="24"/>
                <w:vertAlign w:val="baseline"/>
                <w:lang w:val="en-US" w:eastAsia="zh-CN"/>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24" w:type="dxa"/>
          </w:tcPr>
          <w:p>
            <w:pPr>
              <w:rPr>
                <w:rFonts w:hint="default"/>
                <w:sz w:val="24"/>
                <w:szCs w:val="24"/>
                <w:vertAlign w:val="baseline"/>
                <w:lang w:val="en-US" w:eastAsia="zh-CN"/>
              </w:rPr>
            </w:pPr>
          </w:p>
        </w:tc>
        <w:tc>
          <w:tcPr>
            <w:tcW w:w="1329" w:type="dxa"/>
          </w:tcPr>
          <w:p>
            <w:pPr>
              <w:rPr>
                <w:rFonts w:hint="default"/>
                <w:sz w:val="24"/>
                <w:szCs w:val="24"/>
                <w:vertAlign w:val="baseline"/>
                <w:lang w:val="en-US" w:eastAsia="zh-CN"/>
              </w:rPr>
            </w:pPr>
          </w:p>
        </w:tc>
        <w:tc>
          <w:tcPr>
            <w:tcW w:w="2906" w:type="dxa"/>
          </w:tcPr>
          <w:p>
            <w:pPr>
              <w:rPr>
                <w:rFonts w:hint="default"/>
                <w:sz w:val="24"/>
                <w:szCs w:val="24"/>
                <w:vertAlign w:val="baseline"/>
                <w:lang w:val="en-US" w:eastAsia="zh-CN"/>
              </w:rPr>
            </w:pPr>
          </w:p>
        </w:tc>
        <w:tc>
          <w:tcPr>
            <w:tcW w:w="796" w:type="dxa"/>
          </w:tcPr>
          <w:p>
            <w:pPr>
              <w:rPr>
                <w:rFonts w:hint="default"/>
                <w:sz w:val="24"/>
                <w:szCs w:val="24"/>
                <w:vertAlign w:val="baseline"/>
                <w:lang w:val="en-US" w:eastAsia="zh-CN"/>
              </w:rPr>
            </w:pPr>
          </w:p>
        </w:tc>
        <w:tc>
          <w:tcPr>
            <w:tcW w:w="2615" w:type="dxa"/>
          </w:tcPr>
          <w:p>
            <w:pPr>
              <w:rPr>
                <w:rFonts w:hint="default"/>
                <w:sz w:val="24"/>
                <w:szCs w:val="24"/>
                <w:vertAlign w:val="baseline"/>
                <w:lang w:val="en-US" w:eastAsia="zh-CN"/>
              </w:rPr>
            </w:pPr>
          </w:p>
        </w:tc>
        <w:tc>
          <w:tcPr>
            <w:tcW w:w="969" w:type="dxa"/>
          </w:tcPr>
          <w:p>
            <w:pPr>
              <w:rPr>
                <w:rFonts w:hint="default"/>
                <w:sz w:val="24"/>
                <w:szCs w:val="24"/>
                <w:vertAlign w:val="baseline"/>
                <w:lang w:val="en-US" w:eastAsia="zh-CN"/>
              </w:rPr>
            </w:pPr>
          </w:p>
        </w:tc>
        <w:tc>
          <w:tcPr>
            <w:tcW w:w="931" w:type="dxa"/>
          </w:tcPr>
          <w:p>
            <w:pPr>
              <w:rPr>
                <w:rFonts w:hint="default"/>
                <w:sz w:val="24"/>
                <w:szCs w:val="24"/>
                <w:vertAlign w:val="baseline"/>
                <w:lang w:val="en-US" w:eastAsia="zh-CN"/>
              </w:rPr>
            </w:pPr>
          </w:p>
        </w:tc>
        <w:tc>
          <w:tcPr>
            <w:tcW w:w="955" w:type="dxa"/>
          </w:tcPr>
          <w:p>
            <w:pPr>
              <w:rPr>
                <w:rFonts w:hint="default"/>
                <w:sz w:val="24"/>
                <w:szCs w:val="24"/>
                <w:vertAlign w:val="baseline"/>
                <w:lang w:val="en-US" w:eastAsia="zh-CN"/>
              </w:rPr>
            </w:pPr>
          </w:p>
        </w:tc>
        <w:tc>
          <w:tcPr>
            <w:tcW w:w="1374" w:type="dxa"/>
          </w:tcPr>
          <w:p>
            <w:pPr>
              <w:rPr>
                <w:rFonts w:hint="default"/>
                <w:sz w:val="24"/>
                <w:szCs w:val="24"/>
                <w:vertAlign w:val="baseline"/>
                <w:lang w:val="en-US" w:eastAsia="zh-CN"/>
              </w:rPr>
            </w:pPr>
          </w:p>
        </w:tc>
        <w:tc>
          <w:tcPr>
            <w:tcW w:w="1816" w:type="dxa"/>
          </w:tcPr>
          <w:p>
            <w:pP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24" w:type="dxa"/>
          </w:tcPr>
          <w:p>
            <w:pPr>
              <w:rPr>
                <w:rFonts w:hint="default"/>
                <w:sz w:val="24"/>
                <w:szCs w:val="24"/>
                <w:vertAlign w:val="baseline"/>
                <w:lang w:val="en-US" w:eastAsia="zh-CN"/>
              </w:rPr>
            </w:pPr>
          </w:p>
        </w:tc>
        <w:tc>
          <w:tcPr>
            <w:tcW w:w="1329" w:type="dxa"/>
          </w:tcPr>
          <w:p>
            <w:pPr>
              <w:rPr>
                <w:rFonts w:hint="default"/>
                <w:sz w:val="24"/>
                <w:szCs w:val="24"/>
                <w:vertAlign w:val="baseline"/>
                <w:lang w:val="en-US" w:eastAsia="zh-CN"/>
              </w:rPr>
            </w:pPr>
          </w:p>
        </w:tc>
        <w:tc>
          <w:tcPr>
            <w:tcW w:w="2906" w:type="dxa"/>
          </w:tcPr>
          <w:p>
            <w:pPr>
              <w:rPr>
                <w:rFonts w:hint="default"/>
                <w:sz w:val="24"/>
                <w:szCs w:val="24"/>
                <w:vertAlign w:val="baseline"/>
                <w:lang w:val="en-US" w:eastAsia="zh-CN"/>
              </w:rPr>
            </w:pPr>
          </w:p>
        </w:tc>
        <w:tc>
          <w:tcPr>
            <w:tcW w:w="796" w:type="dxa"/>
          </w:tcPr>
          <w:p>
            <w:pPr>
              <w:rPr>
                <w:rFonts w:hint="default"/>
                <w:sz w:val="24"/>
                <w:szCs w:val="24"/>
                <w:vertAlign w:val="baseline"/>
                <w:lang w:val="en-US" w:eastAsia="zh-CN"/>
              </w:rPr>
            </w:pPr>
          </w:p>
        </w:tc>
        <w:tc>
          <w:tcPr>
            <w:tcW w:w="2615" w:type="dxa"/>
          </w:tcPr>
          <w:p>
            <w:pPr>
              <w:rPr>
                <w:rFonts w:hint="default"/>
                <w:sz w:val="24"/>
                <w:szCs w:val="24"/>
                <w:vertAlign w:val="baseline"/>
                <w:lang w:val="en-US" w:eastAsia="zh-CN"/>
              </w:rPr>
            </w:pPr>
          </w:p>
        </w:tc>
        <w:tc>
          <w:tcPr>
            <w:tcW w:w="969" w:type="dxa"/>
          </w:tcPr>
          <w:p>
            <w:pPr>
              <w:rPr>
                <w:rFonts w:hint="default"/>
                <w:sz w:val="24"/>
                <w:szCs w:val="24"/>
                <w:vertAlign w:val="baseline"/>
                <w:lang w:val="en-US" w:eastAsia="zh-CN"/>
              </w:rPr>
            </w:pPr>
          </w:p>
        </w:tc>
        <w:tc>
          <w:tcPr>
            <w:tcW w:w="931" w:type="dxa"/>
          </w:tcPr>
          <w:p>
            <w:pPr>
              <w:rPr>
                <w:rFonts w:hint="default"/>
                <w:sz w:val="24"/>
                <w:szCs w:val="24"/>
                <w:vertAlign w:val="baseline"/>
                <w:lang w:val="en-US" w:eastAsia="zh-CN"/>
              </w:rPr>
            </w:pPr>
          </w:p>
        </w:tc>
        <w:tc>
          <w:tcPr>
            <w:tcW w:w="955" w:type="dxa"/>
          </w:tcPr>
          <w:p>
            <w:pPr>
              <w:rPr>
                <w:rFonts w:hint="default"/>
                <w:sz w:val="24"/>
                <w:szCs w:val="24"/>
                <w:vertAlign w:val="baseline"/>
                <w:lang w:val="en-US" w:eastAsia="zh-CN"/>
              </w:rPr>
            </w:pPr>
          </w:p>
        </w:tc>
        <w:tc>
          <w:tcPr>
            <w:tcW w:w="1374" w:type="dxa"/>
          </w:tcPr>
          <w:p>
            <w:pPr>
              <w:rPr>
                <w:rFonts w:hint="default"/>
                <w:sz w:val="24"/>
                <w:szCs w:val="24"/>
                <w:vertAlign w:val="baseline"/>
                <w:lang w:val="en-US" w:eastAsia="zh-CN"/>
              </w:rPr>
            </w:pPr>
          </w:p>
        </w:tc>
        <w:tc>
          <w:tcPr>
            <w:tcW w:w="1816" w:type="dxa"/>
          </w:tcPr>
          <w:p>
            <w:pP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24" w:type="dxa"/>
          </w:tcPr>
          <w:p>
            <w:pPr>
              <w:rPr>
                <w:rFonts w:hint="default"/>
                <w:sz w:val="24"/>
                <w:szCs w:val="24"/>
                <w:vertAlign w:val="baseline"/>
                <w:lang w:val="en-US" w:eastAsia="zh-CN"/>
              </w:rPr>
            </w:pPr>
          </w:p>
        </w:tc>
        <w:tc>
          <w:tcPr>
            <w:tcW w:w="1329" w:type="dxa"/>
          </w:tcPr>
          <w:p>
            <w:pPr>
              <w:rPr>
                <w:rFonts w:hint="default"/>
                <w:sz w:val="24"/>
                <w:szCs w:val="24"/>
                <w:vertAlign w:val="baseline"/>
                <w:lang w:val="en-US" w:eastAsia="zh-CN"/>
              </w:rPr>
            </w:pPr>
          </w:p>
        </w:tc>
        <w:tc>
          <w:tcPr>
            <w:tcW w:w="2906" w:type="dxa"/>
          </w:tcPr>
          <w:p>
            <w:pPr>
              <w:rPr>
                <w:rFonts w:hint="default"/>
                <w:sz w:val="24"/>
                <w:szCs w:val="24"/>
                <w:vertAlign w:val="baseline"/>
                <w:lang w:val="en-US" w:eastAsia="zh-CN"/>
              </w:rPr>
            </w:pPr>
          </w:p>
        </w:tc>
        <w:tc>
          <w:tcPr>
            <w:tcW w:w="796" w:type="dxa"/>
          </w:tcPr>
          <w:p>
            <w:pPr>
              <w:rPr>
                <w:rFonts w:hint="default"/>
                <w:sz w:val="24"/>
                <w:szCs w:val="24"/>
                <w:vertAlign w:val="baseline"/>
                <w:lang w:val="en-US" w:eastAsia="zh-CN"/>
              </w:rPr>
            </w:pPr>
          </w:p>
        </w:tc>
        <w:tc>
          <w:tcPr>
            <w:tcW w:w="2615" w:type="dxa"/>
          </w:tcPr>
          <w:p>
            <w:pPr>
              <w:rPr>
                <w:rFonts w:hint="default"/>
                <w:sz w:val="24"/>
                <w:szCs w:val="24"/>
                <w:vertAlign w:val="baseline"/>
                <w:lang w:val="en-US" w:eastAsia="zh-CN"/>
              </w:rPr>
            </w:pPr>
          </w:p>
        </w:tc>
        <w:tc>
          <w:tcPr>
            <w:tcW w:w="969" w:type="dxa"/>
          </w:tcPr>
          <w:p>
            <w:pPr>
              <w:rPr>
                <w:rFonts w:hint="default"/>
                <w:sz w:val="24"/>
                <w:szCs w:val="24"/>
                <w:vertAlign w:val="baseline"/>
                <w:lang w:val="en-US" w:eastAsia="zh-CN"/>
              </w:rPr>
            </w:pPr>
          </w:p>
        </w:tc>
        <w:tc>
          <w:tcPr>
            <w:tcW w:w="931" w:type="dxa"/>
          </w:tcPr>
          <w:p>
            <w:pPr>
              <w:rPr>
                <w:rFonts w:hint="default"/>
                <w:sz w:val="24"/>
                <w:szCs w:val="24"/>
                <w:vertAlign w:val="baseline"/>
                <w:lang w:val="en-US" w:eastAsia="zh-CN"/>
              </w:rPr>
            </w:pPr>
          </w:p>
        </w:tc>
        <w:tc>
          <w:tcPr>
            <w:tcW w:w="955" w:type="dxa"/>
          </w:tcPr>
          <w:p>
            <w:pPr>
              <w:rPr>
                <w:rFonts w:hint="default"/>
                <w:sz w:val="24"/>
                <w:szCs w:val="24"/>
                <w:vertAlign w:val="baseline"/>
                <w:lang w:val="en-US" w:eastAsia="zh-CN"/>
              </w:rPr>
            </w:pPr>
          </w:p>
        </w:tc>
        <w:tc>
          <w:tcPr>
            <w:tcW w:w="1374" w:type="dxa"/>
          </w:tcPr>
          <w:p>
            <w:pPr>
              <w:rPr>
                <w:rFonts w:hint="default"/>
                <w:sz w:val="24"/>
                <w:szCs w:val="24"/>
                <w:vertAlign w:val="baseline"/>
                <w:lang w:val="en-US" w:eastAsia="zh-CN"/>
              </w:rPr>
            </w:pPr>
          </w:p>
        </w:tc>
        <w:tc>
          <w:tcPr>
            <w:tcW w:w="1816" w:type="dxa"/>
          </w:tcPr>
          <w:p>
            <w:pPr>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4415" w:type="dxa"/>
            <w:gridSpan w:val="10"/>
          </w:tcPr>
          <w:p>
            <w:pPr>
              <w:numPr>
                <w:ilvl w:val="0"/>
                <w:numId w:val="1"/>
              </w:numPr>
              <w:ind w:left="425" w:leftChars="0" w:hanging="425" w:firstLineChars="0"/>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校团委将根据回执情况统计人数并安排车辆；</w:t>
            </w:r>
          </w:p>
          <w:p>
            <w:pPr>
              <w:numPr>
                <w:ilvl w:val="0"/>
                <w:numId w:val="1"/>
              </w:numPr>
              <w:ind w:left="425" w:leftChars="0" w:hanging="425" w:firstLineChars="0"/>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4月17日中午用餐如有清真餐需求请备注，所有人员费用自理，30元/人；</w:t>
            </w:r>
          </w:p>
          <w:p>
            <w:pPr>
              <w:numPr>
                <w:ilvl w:val="0"/>
                <w:numId w:val="1"/>
              </w:numPr>
              <w:ind w:left="425" w:leftChars="0" w:hanging="425" w:firstLineChars="0"/>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本回执请于4月9日中午12:00前发送邮箱twzzb@lzu.edu.cn；</w:t>
            </w:r>
          </w:p>
          <w:p>
            <w:pPr>
              <w:numPr>
                <w:ilvl w:val="0"/>
                <w:numId w:val="1"/>
              </w:numPr>
              <w:ind w:left="425" w:leftChars="0" w:hanging="425" w:firstLineChars="0"/>
              <w:rPr>
                <w:rFonts w:hint="default"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如有特殊情况请假请补充说明情况并随附学院党组织出具的证明或请假条（电子版扫描件）。</w:t>
            </w:r>
          </w:p>
        </w:tc>
      </w:tr>
    </w:tbl>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单位名称：                                             联系人：                                年   月   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0316DA"/>
    <w:multiLevelType w:val="singleLevel"/>
    <w:tmpl w:val="D10316DA"/>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8384E"/>
    <w:rsid w:val="2D2037F4"/>
    <w:rsid w:val="2D38384E"/>
    <w:rsid w:val="420137E3"/>
    <w:rsid w:val="5E052DBA"/>
    <w:rsid w:val="7B834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2021-04-08T07:14:00Z</dcterms:created>
  <dc:creator>阿克琉斯</dc:creator>
  <cp:lastModifiedBy>阿克琉斯</cp:lastModifiedBy>
  <dcterms:modified xsi:type="dcterms:W3CDTF">2021-04-08T07:48:53Z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A4011F123ED240A1BBFD41150054B235</vt:lpwstr>
  </property>
</Properties>
</file>